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B4" w:rsidRPr="00DF43B4" w:rsidRDefault="00DF43B4" w:rsidP="00DF43B4">
      <w:pPr>
        <w:spacing w:after="0" w:line="360" w:lineRule="auto"/>
        <w:jc w:val="center"/>
        <w:rPr>
          <w:rFonts w:ascii="Arial Black" w:eastAsia="Century Gothic" w:hAnsi="Arial Black" w:cs="Century Gothic"/>
          <w:bCs/>
          <w:color w:val="0070C0"/>
          <w:sz w:val="28"/>
          <w:szCs w:val="32"/>
          <w:lang w:eastAsia="fr-FR"/>
        </w:rPr>
      </w:pPr>
      <w:r w:rsidRPr="00DF43B4">
        <w:rPr>
          <w:rFonts w:ascii="Arial Black" w:eastAsia="Century Gothic" w:hAnsi="Arial Black" w:cs="Century Gothic"/>
          <w:bCs/>
          <w:color w:val="0070C0"/>
          <w:sz w:val="28"/>
          <w:szCs w:val="32"/>
          <w:lang w:eastAsia="fr-FR"/>
        </w:rPr>
        <w:t>COMMISSION EPISCOPALE JUSTICE ET PAIX DU BURKINA</w:t>
      </w:r>
    </w:p>
    <w:p w:rsidR="00DF43B4" w:rsidRPr="00DF43B4" w:rsidRDefault="00DF43B4" w:rsidP="00DF43B4">
      <w:pPr>
        <w:spacing w:after="0" w:line="360" w:lineRule="auto"/>
        <w:jc w:val="center"/>
        <w:rPr>
          <w:rFonts w:ascii="Arial Black" w:eastAsia="Century Gothic" w:hAnsi="Arial Black" w:cs="Century Gothic"/>
          <w:bCs/>
          <w:color w:val="0070C0"/>
          <w:sz w:val="28"/>
          <w:szCs w:val="32"/>
        </w:rPr>
      </w:pPr>
      <w:r w:rsidRPr="00DF43B4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2CC4FABF" wp14:editId="1BD44469">
            <wp:simplePos x="0" y="0"/>
            <wp:positionH relativeFrom="column">
              <wp:posOffset>1981328</wp:posOffset>
            </wp:positionH>
            <wp:positionV relativeFrom="paragraph">
              <wp:posOffset>505966</wp:posOffset>
            </wp:positionV>
            <wp:extent cx="1891694" cy="1021996"/>
            <wp:effectExtent l="0" t="0" r="0" b="6985"/>
            <wp:wrapTopAndBottom/>
            <wp:docPr id="1" name="Image 1" descr="C:\Users\user\Desktop\AG\Bandéroles\Logo C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G\Bandéroles\Logo CJ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94" cy="102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43B4">
        <w:rPr>
          <w:rFonts w:ascii="Arial Black" w:eastAsia="Century Gothic" w:hAnsi="Arial Black" w:cs="Century Gothic"/>
          <w:bCs/>
          <w:color w:val="0070C0"/>
          <w:sz w:val="28"/>
          <w:szCs w:val="32"/>
        </w:rPr>
        <w:t>(CJP-Burkina)</w:t>
      </w:r>
    </w:p>
    <w:p w:rsidR="00DF43B4" w:rsidRDefault="00DF43B4" w:rsidP="009D51AE">
      <w:pPr>
        <w:rPr>
          <w:rFonts w:ascii="Arial" w:hAnsi="Arial" w:cs="Arial"/>
          <w:b/>
          <w:sz w:val="28"/>
          <w:szCs w:val="28"/>
          <w:u w:val="single"/>
        </w:rPr>
      </w:pPr>
    </w:p>
    <w:p w:rsidR="00DF43B4" w:rsidRPr="00F718CF" w:rsidRDefault="00ED278D" w:rsidP="009D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color w:val="0070C0"/>
          <w:sz w:val="20"/>
        </w:rPr>
      </w:pPr>
      <w:sdt>
        <w:sdtPr>
          <w:rPr>
            <w:rFonts w:cs="Calibri"/>
            <w:b/>
            <w:color w:val="0070C0"/>
            <w:sz w:val="40"/>
            <w:szCs w:val="48"/>
          </w:rPr>
          <w:alias w:val="Titre"/>
          <w:tag w:val=""/>
          <w:id w:val="136470994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E0B1B">
            <w:rPr>
              <w:rFonts w:cs="Calibri"/>
              <w:b/>
              <w:color w:val="0070C0"/>
              <w:sz w:val="40"/>
              <w:szCs w:val="48"/>
            </w:rPr>
            <w:t>Déclaration de la Commission épiscopale Justice et paix à l’issue de la m</w:t>
          </w:r>
          <w:r w:rsidR="000827CB" w:rsidRPr="000827CB">
            <w:rPr>
              <w:rFonts w:cs="Calibri"/>
              <w:b/>
              <w:color w:val="0070C0"/>
              <w:sz w:val="40"/>
              <w:szCs w:val="48"/>
            </w:rPr>
            <w:t>ission d’observation des élections couplées</w:t>
          </w:r>
          <w:r w:rsidR="006742DA">
            <w:rPr>
              <w:rFonts w:cs="Calibri"/>
              <w:b/>
              <w:color w:val="0070C0"/>
              <w:sz w:val="40"/>
              <w:szCs w:val="48"/>
            </w:rPr>
            <w:t>,</w:t>
          </w:r>
          <w:r w:rsidR="000827CB" w:rsidRPr="000827CB">
            <w:rPr>
              <w:rFonts w:cs="Calibri"/>
              <w:b/>
              <w:color w:val="0070C0"/>
              <w:sz w:val="40"/>
              <w:szCs w:val="48"/>
            </w:rPr>
            <w:t xml:space="preserve"> présidentielle et législatives</w:t>
          </w:r>
          <w:r w:rsidR="006742DA">
            <w:rPr>
              <w:rFonts w:cs="Calibri"/>
              <w:b/>
              <w:color w:val="0070C0"/>
              <w:sz w:val="40"/>
              <w:szCs w:val="48"/>
            </w:rPr>
            <w:t>,</w:t>
          </w:r>
          <w:r w:rsidR="000827CB" w:rsidRPr="000827CB">
            <w:rPr>
              <w:rFonts w:cs="Calibri"/>
              <w:b/>
              <w:color w:val="0070C0"/>
              <w:sz w:val="40"/>
              <w:szCs w:val="48"/>
            </w:rPr>
            <w:t xml:space="preserve"> du 22 novembre 2020</w:t>
          </w:r>
        </w:sdtContent>
      </w:sdt>
    </w:p>
    <w:p w:rsidR="00BE0B1B" w:rsidRDefault="00BE0B1B" w:rsidP="000827CB">
      <w:pPr>
        <w:rPr>
          <w:rFonts w:ascii="Arial" w:hAnsi="Arial" w:cs="Arial"/>
          <w:b/>
          <w:i/>
          <w:sz w:val="24"/>
          <w:szCs w:val="24"/>
        </w:rPr>
      </w:pPr>
    </w:p>
    <w:p w:rsidR="00BE0B1B" w:rsidRPr="00A3347B" w:rsidRDefault="00BE0B1B" w:rsidP="009171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47B">
        <w:rPr>
          <w:rFonts w:ascii="Times New Roman" w:hAnsi="Times New Roman" w:cs="Times New Roman"/>
          <w:sz w:val="28"/>
          <w:szCs w:val="28"/>
        </w:rPr>
        <w:t xml:space="preserve">Monsieur le Secrétaire général adjoint de la Conférence épiscopale Burkina-Niger, </w:t>
      </w:r>
    </w:p>
    <w:p w:rsidR="00BE0B1B" w:rsidRPr="00A3347B" w:rsidRDefault="00BE0B1B" w:rsidP="009171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47B">
        <w:rPr>
          <w:rFonts w:ascii="Times New Roman" w:hAnsi="Times New Roman" w:cs="Times New Roman"/>
          <w:sz w:val="28"/>
          <w:szCs w:val="28"/>
        </w:rPr>
        <w:t>Monsieur le Secrét</w:t>
      </w:r>
      <w:r w:rsidR="00715C93">
        <w:rPr>
          <w:rFonts w:ascii="Times New Roman" w:hAnsi="Times New Roman" w:cs="Times New Roman"/>
          <w:sz w:val="28"/>
          <w:szCs w:val="28"/>
        </w:rPr>
        <w:t>aire général de l’Organisation Catholique pour le Développement et la S</w:t>
      </w:r>
      <w:r w:rsidRPr="00A3347B">
        <w:rPr>
          <w:rFonts w:ascii="Times New Roman" w:hAnsi="Times New Roman" w:cs="Times New Roman"/>
          <w:sz w:val="28"/>
          <w:szCs w:val="28"/>
        </w:rPr>
        <w:t>olidarité (OCADES</w:t>
      </w:r>
      <w:r w:rsidR="009203C2">
        <w:rPr>
          <w:rFonts w:ascii="Times New Roman" w:hAnsi="Times New Roman" w:cs="Times New Roman"/>
          <w:sz w:val="28"/>
          <w:szCs w:val="28"/>
        </w:rPr>
        <w:t>-CARITAS BURKINA</w:t>
      </w:r>
      <w:r w:rsidRPr="00A3347B">
        <w:rPr>
          <w:rFonts w:ascii="Times New Roman" w:hAnsi="Times New Roman" w:cs="Times New Roman"/>
          <w:sz w:val="28"/>
          <w:szCs w:val="28"/>
        </w:rPr>
        <w:t>),</w:t>
      </w:r>
    </w:p>
    <w:p w:rsidR="000827CB" w:rsidRPr="00A3347B" w:rsidRDefault="000827CB" w:rsidP="009171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47B">
        <w:rPr>
          <w:rFonts w:ascii="Times New Roman" w:hAnsi="Times New Roman" w:cs="Times New Roman"/>
          <w:sz w:val="28"/>
          <w:szCs w:val="28"/>
        </w:rPr>
        <w:t>Mesdames et Messieurs les journalistes</w:t>
      </w:r>
      <w:r w:rsidR="00160A61" w:rsidRPr="00A3347B">
        <w:rPr>
          <w:rFonts w:ascii="Times New Roman" w:hAnsi="Times New Roman" w:cs="Times New Roman"/>
          <w:sz w:val="28"/>
          <w:szCs w:val="28"/>
        </w:rPr>
        <w:t>,</w:t>
      </w:r>
    </w:p>
    <w:p w:rsidR="000827CB" w:rsidRPr="00A3347B" w:rsidRDefault="00160A61" w:rsidP="009171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47B">
        <w:rPr>
          <w:rFonts w:ascii="Times New Roman" w:hAnsi="Times New Roman" w:cs="Times New Roman"/>
          <w:sz w:val="28"/>
          <w:szCs w:val="28"/>
        </w:rPr>
        <w:t>Chers invités,</w:t>
      </w:r>
    </w:p>
    <w:p w:rsidR="00BE0B1B" w:rsidRPr="00160A61" w:rsidRDefault="000827CB" w:rsidP="00917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61">
        <w:rPr>
          <w:rFonts w:ascii="Times New Roman" w:hAnsi="Times New Roman" w:cs="Times New Roman"/>
          <w:sz w:val="28"/>
          <w:szCs w:val="28"/>
        </w:rPr>
        <w:t xml:space="preserve">Bienvenue à cette conférence de </w:t>
      </w:r>
      <w:r w:rsidR="00BE0B1B" w:rsidRPr="00160A61">
        <w:rPr>
          <w:rFonts w:ascii="Times New Roman" w:hAnsi="Times New Roman" w:cs="Times New Roman"/>
          <w:sz w:val="28"/>
          <w:szCs w:val="28"/>
        </w:rPr>
        <w:t>p</w:t>
      </w:r>
      <w:r w:rsidRPr="00160A61">
        <w:rPr>
          <w:rFonts w:ascii="Times New Roman" w:hAnsi="Times New Roman" w:cs="Times New Roman"/>
          <w:sz w:val="28"/>
          <w:szCs w:val="28"/>
        </w:rPr>
        <w:t>resse</w:t>
      </w:r>
      <w:r w:rsidR="00BE0B1B" w:rsidRPr="00160A61">
        <w:rPr>
          <w:rFonts w:ascii="Times New Roman" w:hAnsi="Times New Roman" w:cs="Times New Roman"/>
          <w:sz w:val="28"/>
          <w:szCs w:val="28"/>
        </w:rPr>
        <w:t xml:space="preserve"> qui offre l’occasion à la Commission épiscopale Justice et Paix, de rendre compte de la mission d’observation des élections couplées du 22 novembre dernier qu’elle a effectué</w:t>
      </w:r>
      <w:r w:rsidR="009203C2">
        <w:rPr>
          <w:rFonts w:ascii="Times New Roman" w:hAnsi="Times New Roman" w:cs="Times New Roman"/>
          <w:sz w:val="28"/>
          <w:szCs w:val="28"/>
        </w:rPr>
        <w:t>e</w:t>
      </w:r>
      <w:r w:rsidR="00BE0B1B" w:rsidRPr="00160A61">
        <w:rPr>
          <w:rFonts w:ascii="Times New Roman" w:hAnsi="Times New Roman" w:cs="Times New Roman"/>
          <w:sz w:val="28"/>
          <w:szCs w:val="28"/>
        </w:rPr>
        <w:t>, à travers la présence sur le terrain, des hommes et des femmes qui se sont engagés à cet effet.</w:t>
      </w:r>
    </w:p>
    <w:p w:rsidR="00BE0B1B" w:rsidRPr="00160A61" w:rsidRDefault="00BE0B1B" w:rsidP="00917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61">
        <w:rPr>
          <w:rFonts w:ascii="Times New Roman" w:hAnsi="Times New Roman" w:cs="Times New Roman"/>
          <w:sz w:val="28"/>
          <w:szCs w:val="28"/>
        </w:rPr>
        <w:t xml:space="preserve">La Commission épiscopale Justice et Paix est </w:t>
      </w:r>
      <w:r w:rsidR="007607B4" w:rsidRPr="00160A61">
        <w:rPr>
          <w:rFonts w:ascii="Times New Roman" w:hAnsi="Times New Roman" w:cs="Times New Roman"/>
          <w:sz w:val="28"/>
          <w:szCs w:val="28"/>
        </w:rPr>
        <w:t>l’</w:t>
      </w:r>
      <w:r w:rsidRPr="00160A61">
        <w:rPr>
          <w:rFonts w:ascii="Times New Roman" w:hAnsi="Times New Roman" w:cs="Times New Roman"/>
          <w:sz w:val="28"/>
          <w:szCs w:val="28"/>
        </w:rPr>
        <w:t xml:space="preserve">organisation de l’Eglise </w:t>
      </w:r>
      <w:r w:rsidR="009203C2">
        <w:rPr>
          <w:rFonts w:ascii="Times New Roman" w:hAnsi="Times New Roman" w:cs="Times New Roman"/>
          <w:sz w:val="28"/>
          <w:szCs w:val="28"/>
        </w:rPr>
        <w:t xml:space="preserve">Famille de Dieu </w:t>
      </w:r>
      <w:r w:rsidR="00715C93">
        <w:rPr>
          <w:rFonts w:ascii="Times New Roman" w:hAnsi="Times New Roman" w:cs="Times New Roman"/>
          <w:sz w:val="28"/>
          <w:szCs w:val="28"/>
        </w:rPr>
        <w:t xml:space="preserve">du Burkina qui </w:t>
      </w:r>
      <w:r w:rsidRPr="00160A61">
        <w:rPr>
          <w:rFonts w:ascii="Times New Roman" w:hAnsi="Times New Roman" w:cs="Times New Roman"/>
          <w:sz w:val="28"/>
          <w:szCs w:val="28"/>
        </w:rPr>
        <w:t>a pour mission</w:t>
      </w:r>
      <w:r w:rsidR="007607B4" w:rsidRPr="00160A61">
        <w:rPr>
          <w:rFonts w:ascii="Times New Roman" w:hAnsi="Times New Roman" w:cs="Times New Roman"/>
          <w:sz w:val="28"/>
          <w:szCs w:val="28"/>
        </w:rPr>
        <w:t xml:space="preserve"> de promouvoir la justice sociale, la paix, la cohésion sociale et de défendre les droits fondamentaux de la personne humaine et des groupes sociaux</w:t>
      </w:r>
      <w:r w:rsidRPr="00160A61">
        <w:rPr>
          <w:rFonts w:ascii="Times New Roman" w:hAnsi="Times New Roman" w:cs="Times New Roman"/>
          <w:sz w:val="28"/>
          <w:szCs w:val="28"/>
        </w:rPr>
        <w:t>, à la lumière de la Doctrine sociale de l’E</w:t>
      </w:r>
      <w:r w:rsidR="007607B4" w:rsidRPr="00160A61">
        <w:rPr>
          <w:rFonts w:ascii="Times New Roman" w:hAnsi="Times New Roman" w:cs="Times New Roman"/>
          <w:sz w:val="28"/>
          <w:szCs w:val="28"/>
        </w:rPr>
        <w:t xml:space="preserve">glise. Elle ne </w:t>
      </w:r>
      <w:r w:rsidR="007607B4" w:rsidRPr="00160A61">
        <w:rPr>
          <w:rFonts w:ascii="Times New Roman" w:hAnsi="Times New Roman" w:cs="Times New Roman"/>
          <w:sz w:val="28"/>
          <w:szCs w:val="28"/>
        </w:rPr>
        <w:lastRenderedPageBreak/>
        <w:t>pouvait donc rest</w:t>
      </w:r>
      <w:r w:rsidR="00DF7E1D">
        <w:rPr>
          <w:rFonts w:ascii="Times New Roman" w:hAnsi="Times New Roman" w:cs="Times New Roman"/>
          <w:sz w:val="28"/>
          <w:szCs w:val="28"/>
        </w:rPr>
        <w:t>er en marge du processus électoral</w:t>
      </w:r>
      <w:r w:rsidR="007607B4" w:rsidRPr="00160A61">
        <w:rPr>
          <w:rFonts w:ascii="Times New Roman" w:hAnsi="Times New Roman" w:cs="Times New Roman"/>
          <w:sz w:val="28"/>
          <w:szCs w:val="28"/>
        </w:rPr>
        <w:t xml:space="preserve"> qui vient de se dérouler et dont certains résultats provisoires sont déjà portés à la connaissance de l’opinion publique.  </w:t>
      </w:r>
    </w:p>
    <w:p w:rsidR="00365AD6" w:rsidRPr="00160A61" w:rsidRDefault="007607B4" w:rsidP="00917181">
      <w:pPr>
        <w:spacing w:line="36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</w:pPr>
      <w:r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>L’objectif de la mission d’observation des élections par l’Eglise, à travers la Co</w:t>
      </w:r>
      <w:r w:rsidR="009203C2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>mmission épiscopale Justice et P</w:t>
      </w:r>
      <w:r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>aix</w:t>
      </w:r>
      <w:r w:rsidR="00365AD6"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>,</w:t>
      </w:r>
      <w:r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 xml:space="preserve"> était de contribuer </w:t>
      </w:r>
      <w:r w:rsidR="00365AD6"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 xml:space="preserve">d’une part </w:t>
      </w:r>
      <w:r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>à rendre effectif, l’exercice par les citoyens de leur droit de voter</w:t>
      </w:r>
      <w:r w:rsidR="00365AD6"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 xml:space="preserve"> et, d’autre part, d’apporter son concours pour des élections apaisées, transparentes et crédibles. </w:t>
      </w:r>
      <w:r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 xml:space="preserve">La remontée des informations </w:t>
      </w:r>
      <w:r w:rsidR="00365AD6"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 xml:space="preserve">fournies par les observateurs </w:t>
      </w:r>
      <w:r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 xml:space="preserve">nous a permis de suivre </w:t>
      </w:r>
      <w:r w:rsidR="00365AD6"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 xml:space="preserve">le processus électoral </w:t>
      </w:r>
      <w:r w:rsidR="00D30880"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>sans discontinuer</w:t>
      </w:r>
      <w:r w:rsidR="00365AD6"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>, ce qui nous permet d’en donner une appréciation générale et d</w:t>
      </w:r>
      <w:r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 xml:space="preserve">e formuler des recommandations </w:t>
      </w:r>
      <w:r w:rsidR="00365AD6"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>aux parties prenantes</w:t>
      </w:r>
      <w:r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365AD6"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>en vue de contribuer à améliorer les scrutins à venir</w:t>
      </w:r>
      <w:r w:rsidRPr="00160A61">
        <w:rPr>
          <w:rFonts w:ascii="Times New Roman" w:eastAsia="Georgia" w:hAnsi="Times New Roman" w:cs="Times New Roman"/>
          <w:color w:val="000000"/>
          <w:sz w:val="28"/>
          <w:szCs w:val="28"/>
          <w:lang w:eastAsia="fr-FR"/>
        </w:rPr>
        <w:t xml:space="preserve">. </w:t>
      </w:r>
    </w:p>
    <w:p w:rsidR="007B7211" w:rsidRPr="00917181" w:rsidRDefault="007B7211" w:rsidP="00365AD6">
      <w:pPr>
        <w:spacing w:line="360" w:lineRule="auto"/>
        <w:ind w:firstLine="708"/>
        <w:jc w:val="both"/>
        <w:rPr>
          <w:rFonts w:ascii="Arial" w:eastAsia="Georgia" w:hAnsi="Arial" w:cs="Arial"/>
          <w:color w:val="000000"/>
          <w:sz w:val="8"/>
          <w:szCs w:val="8"/>
          <w:lang w:eastAsia="fr-FR"/>
        </w:rPr>
      </w:pPr>
    </w:p>
    <w:p w:rsidR="00365AD6" w:rsidRPr="00087880" w:rsidRDefault="00365AD6" w:rsidP="00917181">
      <w:pPr>
        <w:pStyle w:val="Paragraphedeliste"/>
        <w:numPr>
          <w:ilvl w:val="0"/>
          <w:numId w:val="35"/>
        </w:numPr>
        <w:spacing w:line="360" w:lineRule="auto"/>
        <w:ind w:left="709" w:hanging="349"/>
        <w:rPr>
          <w:rFonts w:ascii="Arial" w:hAnsi="Arial" w:cs="Arial"/>
          <w:b/>
          <w:sz w:val="24"/>
          <w:szCs w:val="24"/>
        </w:rPr>
      </w:pPr>
      <w:r w:rsidRPr="00087880">
        <w:rPr>
          <w:rFonts w:ascii="Arial" w:hAnsi="Arial" w:cs="Arial"/>
          <w:b/>
          <w:sz w:val="24"/>
          <w:szCs w:val="24"/>
        </w:rPr>
        <w:t xml:space="preserve">Du déploiement des observateurs </w:t>
      </w:r>
    </w:p>
    <w:p w:rsidR="00365AD6" w:rsidRPr="00F95193" w:rsidRDefault="00365AD6" w:rsidP="00365AD6">
      <w:pPr>
        <w:pStyle w:val="Paragraphedeliste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B3ED0" w:rsidRPr="00BD2414" w:rsidRDefault="00365AD6" w:rsidP="00917181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414">
        <w:rPr>
          <w:rFonts w:ascii="Times New Roman" w:hAnsi="Times New Roman" w:cs="Times New Roman"/>
          <w:sz w:val="28"/>
          <w:szCs w:val="28"/>
        </w:rPr>
        <w:t xml:space="preserve">La commission </w:t>
      </w:r>
      <w:r w:rsidR="007B7211" w:rsidRPr="00BD2414">
        <w:rPr>
          <w:rFonts w:ascii="Times New Roman" w:hAnsi="Times New Roman" w:cs="Times New Roman"/>
          <w:sz w:val="28"/>
          <w:szCs w:val="28"/>
        </w:rPr>
        <w:t xml:space="preserve">épiscopale Justice et Paix </w:t>
      </w:r>
      <w:r w:rsidRPr="00BD2414">
        <w:rPr>
          <w:rFonts w:ascii="Times New Roman" w:hAnsi="Times New Roman" w:cs="Times New Roman"/>
          <w:sz w:val="28"/>
          <w:szCs w:val="28"/>
        </w:rPr>
        <w:t>a élaboré un projet de supervision de</w:t>
      </w:r>
      <w:r w:rsidR="006742DA">
        <w:rPr>
          <w:rFonts w:ascii="Times New Roman" w:hAnsi="Times New Roman" w:cs="Times New Roman"/>
          <w:sz w:val="28"/>
          <w:szCs w:val="28"/>
        </w:rPr>
        <w:t>s élections qui</w:t>
      </w:r>
      <w:r w:rsidR="009203C2">
        <w:rPr>
          <w:rFonts w:ascii="Times New Roman" w:hAnsi="Times New Roman" w:cs="Times New Roman"/>
          <w:sz w:val="28"/>
          <w:szCs w:val="28"/>
        </w:rPr>
        <w:t>,</w:t>
      </w:r>
      <w:r w:rsidR="006742DA">
        <w:rPr>
          <w:rFonts w:ascii="Times New Roman" w:hAnsi="Times New Roman" w:cs="Times New Roman"/>
          <w:sz w:val="28"/>
          <w:szCs w:val="28"/>
        </w:rPr>
        <w:t xml:space="preserve"> malheureusement, du fait de l’épuisement des délais, </w:t>
      </w:r>
      <w:r w:rsidRPr="00BD2414">
        <w:rPr>
          <w:rFonts w:ascii="Times New Roman" w:hAnsi="Times New Roman" w:cs="Times New Roman"/>
          <w:sz w:val="28"/>
          <w:szCs w:val="28"/>
        </w:rPr>
        <w:t xml:space="preserve">n’a </w:t>
      </w:r>
      <w:r w:rsidR="007B3ED0" w:rsidRPr="00BD2414">
        <w:rPr>
          <w:rFonts w:ascii="Times New Roman" w:hAnsi="Times New Roman" w:cs="Times New Roman"/>
          <w:sz w:val="28"/>
          <w:szCs w:val="28"/>
        </w:rPr>
        <w:t>obtenu aucun financement</w:t>
      </w:r>
      <w:r w:rsidRPr="00BD2414">
        <w:rPr>
          <w:rFonts w:ascii="Times New Roman" w:hAnsi="Times New Roman" w:cs="Times New Roman"/>
          <w:sz w:val="28"/>
          <w:szCs w:val="28"/>
        </w:rPr>
        <w:t xml:space="preserve">. Pour autant, </w:t>
      </w:r>
      <w:r w:rsidR="007B3ED0" w:rsidRPr="00BD2414">
        <w:rPr>
          <w:rFonts w:ascii="Times New Roman" w:hAnsi="Times New Roman" w:cs="Times New Roman"/>
          <w:sz w:val="28"/>
          <w:szCs w:val="28"/>
        </w:rPr>
        <w:t>elle</w:t>
      </w:r>
      <w:r w:rsidRPr="00BD2414">
        <w:rPr>
          <w:rFonts w:ascii="Times New Roman" w:hAnsi="Times New Roman" w:cs="Times New Roman"/>
          <w:sz w:val="28"/>
          <w:szCs w:val="28"/>
        </w:rPr>
        <w:t xml:space="preserve"> </w:t>
      </w:r>
      <w:r w:rsidR="007B3ED0" w:rsidRPr="00BD2414">
        <w:rPr>
          <w:rFonts w:ascii="Times New Roman" w:hAnsi="Times New Roman" w:cs="Times New Roman"/>
          <w:sz w:val="28"/>
          <w:szCs w:val="28"/>
        </w:rPr>
        <w:t xml:space="preserve">a </w:t>
      </w:r>
      <w:r w:rsidRPr="00BD2414">
        <w:rPr>
          <w:rFonts w:ascii="Times New Roman" w:hAnsi="Times New Roman" w:cs="Times New Roman"/>
          <w:sz w:val="28"/>
          <w:szCs w:val="28"/>
        </w:rPr>
        <w:t>décidé de participer à la supervision des élections</w:t>
      </w:r>
      <w:r w:rsidR="00D30880" w:rsidRPr="00BD2414">
        <w:rPr>
          <w:rFonts w:ascii="Times New Roman" w:hAnsi="Times New Roman" w:cs="Times New Roman"/>
          <w:sz w:val="28"/>
          <w:szCs w:val="28"/>
        </w:rPr>
        <w:t xml:space="preserve"> et la plupart d</w:t>
      </w:r>
      <w:r w:rsidR="007B3ED0" w:rsidRPr="00BD2414">
        <w:rPr>
          <w:rFonts w:ascii="Times New Roman" w:hAnsi="Times New Roman" w:cs="Times New Roman"/>
          <w:sz w:val="28"/>
          <w:szCs w:val="28"/>
        </w:rPr>
        <w:t xml:space="preserve">es observateurs </w:t>
      </w:r>
      <w:r w:rsidR="00D30880" w:rsidRPr="00BD2414">
        <w:rPr>
          <w:rFonts w:ascii="Times New Roman" w:hAnsi="Times New Roman" w:cs="Times New Roman"/>
          <w:sz w:val="28"/>
          <w:szCs w:val="28"/>
        </w:rPr>
        <w:t xml:space="preserve">qui s’étaient rendus disponibles au départ </w:t>
      </w:r>
      <w:r w:rsidR="007B3ED0" w:rsidRPr="00BD2414">
        <w:rPr>
          <w:rFonts w:ascii="Times New Roman" w:hAnsi="Times New Roman" w:cs="Times New Roman"/>
          <w:sz w:val="28"/>
          <w:szCs w:val="28"/>
        </w:rPr>
        <w:t xml:space="preserve">se sont mis debout, comme un seul homme, au nom de leur foi et </w:t>
      </w:r>
      <w:r w:rsidR="00D30880" w:rsidRPr="00BD2414">
        <w:rPr>
          <w:rFonts w:ascii="Times New Roman" w:hAnsi="Times New Roman" w:cs="Times New Roman"/>
          <w:sz w:val="28"/>
          <w:szCs w:val="28"/>
        </w:rPr>
        <w:t xml:space="preserve">de </w:t>
      </w:r>
      <w:r w:rsidR="007B3ED0" w:rsidRPr="00BD2414">
        <w:rPr>
          <w:rFonts w:ascii="Times New Roman" w:hAnsi="Times New Roman" w:cs="Times New Roman"/>
          <w:sz w:val="28"/>
          <w:szCs w:val="28"/>
        </w:rPr>
        <w:t xml:space="preserve">leurs convictions citoyennes, usant de </w:t>
      </w:r>
      <w:r w:rsidR="00D30880" w:rsidRPr="00BD2414">
        <w:rPr>
          <w:rFonts w:ascii="Times New Roman" w:hAnsi="Times New Roman" w:cs="Times New Roman"/>
          <w:sz w:val="28"/>
          <w:szCs w:val="28"/>
        </w:rPr>
        <w:t xml:space="preserve">leurs </w:t>
      </w:r>
      <w:r w:rsidR="007B3ED0" w:rsidRPr="00BD2414">
        <w:rPr>
          <w:rFonts w:ascii="Times New Roman" w:hAnsi="Times New Roman" w:cs="Times New Roman"/>
          <w:sz w:val="28"/>
          <w:szCs w:val="28"/>
        </w:rPr>
        <w:t>moyens propres</w:t>
      </w:r>
      <w:r w:rsidR="00D30880" w:rsidRPr="00BD2414">
        <w:rPr>
          <w:rFonts w:ascii="Times New Roman" w:hAnsi="Times New Roman" w:cs="Times New Roman"/>
          <w:sz w:val="28"/>
          <w:szCs w:val="28"/>
        </w:rPr>
        <w:t>, tant pour se déplacer que pour</w:t>
      </w:r>
      <w:r w:rsidR="007B3ED0" w:rsidRPr="00BD2414">
        <w:rPr>
          <w:rFonts w:ascii="Times New Roman" w:hAnsi="Times New Roman" w:cs="Times New Roman"/>
          <w:sz w:val="28"/>
          <w:szCs w:val="28"/>
        </w:rPr>
        <w:t xml:space="preserve"> </w:t>
      </w:r>
      <w:r w:rsidR="006742DA">
        <w:rPr>
          <w:rFonts w:ascii="Times New Roman" w:hAnsi="Times New Roman" w:cs="Times New Roman"/>
          <w:sz w:val="28"/>
          <w:szCs w:val="28"/>
        </w:rPr>
        <w:t xml:space="preserve">se </w:t>
      </w:r>
      <w:r w:rsidR="00D30880" w:rsidRPr="00BD2414">
        <w:rPr>
          <w:rFonts w:ascii="Times New Roman" w:hAnsi="Times New Roman" w:cs="Times New Roman"/>
          <w:sz w:val="28"/>
          <w:szCs w:val="28"/>
        </w:rPr>
        <w:t xml:space="preserve">restaurer, dans le seul but d’apporter ce qu’ils sont, parajuristes ou témoins de la foi, pour des élections crédibles, transparentes et apaisées. </w:t>
      </w:r>
    </w:p>
    <w:p w:rsidR="00917181" w:rsidRPr="00917181" w:rsidRDefault="00917181" w:rsidP="00917181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30880" w:rsidRPr="00BD2414" w:rsidRDefault="00D30880" w:rsidP="00917181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414">
        <w:rPr>
          <w:rFonts w:ascii="Times New Roman" w:hAnsi="Times New Roman" w:cs="Times New Roman"/>
          <w:sz w:val="28"/>
          <w:szCs w:val="28"/>
        </w:rPr>
        <w:t xml:space="preserve">Sur </w:t>
      </w:r>
      <w:r w:rsidR="00A47D16">
        <w:rPr>
          <w:rFonts w:ascii="Times New Roman" w:hAnsi="Times New Roman" w:cs="Times New Roman"/>
          <w:sz w:val="28"/>
          <w:szCs w:val="28"/>
        </w:rPr>
        <w:t>sept cent cinquante-trois (</w:t>
      </w:r>
      <w:r w:rsidR="00365AD6" w:rsidRPr="00BD2414">
        <w:rPr>
          <w:rFonts w:ascii="Times New Roman" w:hAnsi="Times New Roman" w:cs="Times New Roman"/>
          <w:sz w:val="28"/>
          <w:szCs w:val="28"/>
        </w:rPr>
        <w:t>753</w:t>
      </w:r>
      <w:r w:rsidR="00A47D16">
        <w:rPr>
          <w:rFonts w:ascii="Times New Roman" w:hAnsi="Times New Roman" w:cs="Times New Roman"/>
          <w:sz w:val="28"/>
          <w:szCs w:val="28"/>
        </w:rPr>
        <w:t>)</w:t>
      </w:r>
      <w:r w:rsidR="00365AD6" w:rsidRPr="00BD2414">
        <w:rPr>
          <w:rFonts w:ascii="Times New Roman" w:hAnsi="Times New Roman" w:cs="Times New Roman"/>
          <w:sz w:val="28"/>
          <w:szCs w:val="28"/>
        </w:rPr>
        <w:t xml:space="preserve"> observateurs</w:t>
      </w:r>
      <w:r w:rsidRPr="00BD2414">
        <w:rPr>
          <w:rFonts w:ascii="Times New Roman" w:hAnsi="Times New Roman" w:cs="Times New Roman"/>
          <w:sz w:val="28"/>
          <w:szCs w:val="28"/>
        </w:rPr>
        <w:t xml:space="preserve"> prévus au départ,</w:t>
      </w:r>
      <w:r w:rsidR="00365AD6" w:rsidRPr="00BD2414">
        <w:rPr>
          <w:rFonts w:ascii="Times New Roman" w:hAnsi="Times New Roman" w:cs="Times New Roman"/>
          <w:sz w:val="28"/>
          <w:szCs w:val="28"/>
        </w:rPr>
        <w:t xml:space="preserve"> </w:t>
      </w:r>
      <w:r w:rsidR="00783523">
        <w:rPr>
          <w:rFonts w:ascii="Times New Roman" w:hAnsi="Times New Roman" w:cs="Times New Roman"/>
          <w:sz w:val="28"/>
          <w:szCs w:val="28"/>
        </w:rPr>
        <w:t>quatre cent deux (</w:t>
      </w:r>
      <w:r w:rsidR="00365AD6" w:rsidRPr="00BD2414">
        <w:rPr>
          <w:rFonts w:ascii="Times New Roman" w:hAnsi="Times New Roman" w:cs="Times New Roman"/>
          <w:sz w:val="28"/>
          <w:szCs w:val="28"/>
        </w:rPr>
        <w:t>402</w:t>
      </w:r>
      <w:r w:rsidR="00783523">
        <w:rPr>
          <w:rFonts w:ascii="Times New Roman" w:hAnsi="Times New Roman" w:cs="Times New Roman"/>
          <w:sz w:val="28"/>
          <w:szCs w:val="28"/>
        </w:rPr>
        <w:t>)</w:t>
      </w:r>
      <w:r w:rsidR="00365AD6" w:rsidRPr="00BD2414">
        <w:rPr>
          <w:rFonts w:ascii="Times New Roman" w:hAnsi="Times New Roman" w:cs="Times New Roman"/>
          <w:sz w:val="28"/>
          <w:szCs w:val="28"/>
        </w:rPr>
        <w:t xml:space="preserve"> observateurs ont favorablement répondu à cet appel de la foi</w:t>
      </w:r>
      <w:r w:rsidR="006742DA">
        <w:rPr>
          <w:rFonts w:ascii="Times New Roman" w:hAnsi="Times New Roman" w:cs="Times New Roman"/>
          <w:sz w:val="28"/>
          <w:szCs w:val="28"/>
        </w:rPr>
        <w:t>,</w:t>
      </w:r>
      <w:r w:rsidR="00365AD6" w:rsidRPr="00BD2414">
        <w:rPr>
          <w:rFonts w:ascii="Times New Roman" w:hAnsi="Times New Roman" w:cs="Times New Roman"/>
          <w:sz w:val="28"/>
          <w:szCs w:val="28"/>
        </w:rPr>
        <w:t> </w:t>
      </w:r>
      <w:r w:rsidR="009203C2">
        <w:rPr>
          <w:rFonts w:ascii="Times New Roman" w:hAnsi="Times New Roman" w:cs="Times New Roman"/>
          <w:sz w:val="28"/>
          <w:szCs w:val="28"/>
        </w:rPr>
        <w:t>la plupart des restants</w:t>
      </w:r>
      <w:r w:rsidRPr="00BD2414">
        <w:rPr>
          <w:rFonts w:ascii="Times New Roman" w:hAnsi="Times New Roman" w:cs="Times New Roman"/>
          <w:sz w:val="28"/>
          <w:szCs w:val="28"/>
        </w:rPr>
        <w:t xml:space="preserve"> ayant été empêchés par d’autres </w:t>
      </w:r>
      <w:r w:rsidR="00917181" w:rsidRPr="00BD2414">
        <w:rPr>
          <w:rFonts w:ascii="Times New Roman" w:hAnsi="Times New Roman" w:cs="Times New Roman"/>
          <w:sz w:val="28"/>
          <w:szCs w:val="28"/>
        </w:rPr>
        <w:t>enga</w:t>
      </w:r>
      <w:r w:rsidR="00917181">
        <w:rPr>
          <w:rFonts w:ascii="Times New Roman" w:hAnsi="Times New Roman" w:cs="Times New Roman"/>
          <w:sz w:val="28"/>
          <w:szCs w:val="28"/>
        </w:rPr>
        <w:t>ge</w:t>
      </w:r>
      <w:r w:rsidR="00917181" w:rsidRPr="00BD2414">
        <w:rPr>
          <w:rFonts w:ascii="Times New Roman" w:hAnsi="Times New Roman" w:cs="Times New Roman"/>
          <w:sz w:val="28"/>
          <w:szCs w:val="28"/>
        </w:rPr>
        <w:t>ments</w:t>
      </w:r>
      <w:r w:rsidRPr="00BD2414">
        <w:rPr>
          <w:rFonts w:ascii="Times New Roman" w:hAnsi="Times New Roman" w:cs="Times New Roman"/>
          <w:sz w:val="28"/>
          <w:szCs w:val="28"/>
        </w:rPr>
        <w:t xml:space="preserve"> pris entre temps.</w:t>
      </w:r>
    </w:p>
    <w:p w:rsidR="00917181" w:rsidRDefault="00917181" w:rsidP="00917181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880" w:rsidRPr="00BD2414" w:rsidRDefault="00D30880" w:rsidP="00917181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414">
        <w:rPr>
          <w:rFonts w:ascii="Times New Roman" w:hAnsi="Times New Roman" w:cs="Times New Roman"/>
          <w:sz w:val="28"/>
          <w:szCs w:val="28"/>
        </w:rPr>
        <w:lastRenderedPageBreak/>
        <w:t xml:space="preserve">Les </w:t>
      </w:r>
      <w:r w:rsidR="00365AD6" w:rsidRPr="00BD2414">
        <w:rPr>
          <w:rFonts w:ascii="Times New Roman" w:hAnsi="Times New Roman" w:cs="Times New Roman"/>
          <w:sz w:val="28"/>
          <w:szCs w:val="28"/>
        </w:rPr>
        <w:t xml:space="preserve">402 observateurs accrédités </w:t>
      </w:r>
      <w:r w:rsidR="00970514">
        <w:rPr>
          <w:rFonts w:ascii="Times New Roman" w:hAnsi="Times New Roman" w:cs="Times New Roman"/>
          <w:sz w:val="28"/>
          <w:szCs w:val="28"/>
        </w:rPr>
        <w:t>par la Commission Electorale N</w:t>
      </w:r>
      <w:r w:rsidR="00365AD6" w:rsidRPr="00BD2414">
        <w:rPr>
          <w:rFonts w:ascii="Times New Roman" w:hAnsi="Times New Roman" w:cs="Times New Roman"/>
          <w:sz w:val="28"/>
          <w:szCs w:val="28"/>
        </w:rPr>
        <w:t xml:space="preserve">ationale </w:t>
      </w:r>
      <w:r w:rsidR="00970514">
        <w:rPr>
          <w:rFonts w:ascii="Times New Roman" w:hAnsi="Times New Roman" w:cs="Times New Roman"/>
          <w:sz w:val="28"/>
          <w:szCs w:val="28"/>
        </w:rPr>
        <w:t>I</w:t>
      </w:r>
      <w:r w:rsidR="00365AD6" w:rsidRPr="00BD2414">
        <w:rPr>
          <w:rFonts w:ascii="Times New Roman" w:hAnsi="Times New Roman" w:cs="Times New Roman"/>
          <w:sz w:val="28"/>
          <w:szCs w:val="28"/>
        </w:rPr>
        <w:t xml:space="preserve">ndépendante </w:t>
      </w:r>
      <w:r w:rsidR="00970514">
        <w:rPr>
          <w:rFonts w:ascii="Times New Roman" w:hAnsi="Times New Roman" w:cs="Times New Roman"/>
          <w:sz w:val="28"/>
          <w:szCs w:val="28"/>
        </w:rPr>
        <w:t xml:space="preserve">(CENI) </w:t>
      </w:r>
      <w:r w:rsidR="00365AD6" w:rsidRPr="00BD2414">
        <w:rPr>
          <w:rFonts w:ascii="Times New Roman" w:hAnsi="Times New Roman" w:cs="Times New Roman"/>
          <w:sz w:val="28"/>
          <w:szCs w:val="28"/>
        </w:rPr>
        <w:t xml:space="preserve">ont été déployés dans les </w:t>
      </w:r>
      <w:r w:rsidR="00970514">
        <w:rPr>
          <w:rFonts w:ascii="Times New Roman" w:hAnsi="Times New Roman" w:cs="Times New Roman"/>
          <w:sz w:val="28"/>
          <w:szCs w:val="28"/>
        </w:rPr>
        <w:t>quatorze (</w:t>
      </w:r>
      <w:r w:rsidR="00365AD6" w:rsidRPr="00BD2414">
        <w:rPr>
          <w:rFonts w:ascii="Times New Roman" w:hAnsi="Times New Roman" w:cs="Times New Roman"/>
          <w:sz w:val="28"/>
          <w:szCs w:val="28"/>
        </w:rPr>
        <w:t>14</w:t>
      </w:r>
      <w:r w:rsidR="00970514">
        <w:rPr>
          <w:rFonts w:ascii="Times New Roman" w:hAnsi="Times New Roman" w:cs="Times New Roman"/>
          <w:sz w:val="28"/>
          <w:szCs w:val="28"/>
        </w:rPr>
        <w:t>)</w:t>
      </w:r>
      <w:r w:rsidR="00365AD6" w:rsidRPr="00BD2414">
        <w:rPr>
          <w:rFonts w:ascii="Times New Roman" w:hAnsi="Times New Roman" w:cs="Times New Roman"/>
          <w:sz w:val="28"/>
          <w:szCs w:val="28"/>
        </w:rPr>
        <w:t xml:space="preserve"> diocèses </w:t>
      </w:r>
      <w:r w:rsidR="00365AD6" w:rsidRPr="00BD2414">
        <w:rPr>
          <w:rFonts w:ascii="Times New Roman" w:hAnsi="Times New Roman" w:cs="Times New Roman"/>
          <w:bCs/>
          <w:sz w:val="28"/>
          <w:szCs w:val="28"/>
        </w:rPr>
        <w:t xml:space="preserve">du Burkina, soit sur douze </w:t>
      </w:r>
      <w:r w:rsidR="006742DA">
        <w:rPr>
          <w:rFonts w:ascii="Times New Roman" w:hAnsi="Times New Roman" w:cs="Times New Roman"/>
          <w:bCs/>
          <w:sz w:val="28"/>
          <w:szCs w:val="28"/>
        </w:rPr>
        <w:t>(</w:t>
      </w:r>
      <w:r w:rsidR="00365AD6" w:rsidRPr="00BD2414">
        <w:rPr>
          <w:rFonts w:ascii="Times New Roman" w:hAnsi="Times New Roman" w:cs="Times New Roman"/>
          <w:bCs/>
          <w:sz w:val="28"/>
          <w:szCs w:val="28"/>
        </w:rPr>
        <w:t>12</w:t>
      </w:r>
      <w:r w:rsidR="006742D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D2414">
        <w:rPr>
          <w:rFonts w:ascii="Times New Roman" w:hAnsi="Times New Roman" w:cs="Times New Roman"/>
          <w:bCs/>
          <w:sz w:val="28"/>
          <w:szCs w:val="28"/>
        </w:rPr>
        <w:t xml:space="preserve">des </w:t>
      </w:r>
      <w:r w:rsidR="006742DA">
        <w:rPr>
          <w:rFonts w:ascii="Times New Roman" w:hAnsi="Times New Roman" w:cs="Times New Roman"/>
          <w:bCs/>
          <w:sz w:val="28"/>
          <w:szCs w:val="28"/>
        </w:rPr>
        <w:t>treize (</w:t>
      </w:r>
      <w:r w:rsidRPr="00BD2414">
        <w:rPr>
          <w:rFonts w:ascii="Times New Roman" w:hAnsi="Times New Roman" w:cs="Times New Roman"/>
          <w:bCs/>
          <w:sz w:val="28"/>
          <w:szCs w:val="28"/>
        </w:rPr>
        <w:t>13</w:t>
      </w:r>
      <w:r w:rsidR="006742DA">
        <w:rPr>
          <w:rFonts w:ascii="Times New Roman" w:hAnsi="Times New Roman" w:cs="Times New Roman"/>
          <w:bCs/>
          <w:sz w:val="28"/>
          <w:szCs w:val="28"/>
        </w:rPr>
        <w:t>)</w:t>
      </w:r>
      <w:r w:rsidRPr="00BD2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2DA">
        <w:rPr>
          <w:rFonts w:ascii="Times New Roman" w:hAnsi="Times New Roman" w:cs="Times New Roman"/>
          <w:bCs/>
          <w:sz w:val="28"/>
          <w:szCs w:val="28"/>
        </w:rPr>
        <w:t>r</w:t>
      </w:r>
      <w:r w:rsidR="006742DA" w:rsidRPr="00BD2414">
        <w:rPr>
          <w:rFonts w:ascii="Times New Roman" w:hAnsi="Times New Roman" w:cs="Times New Roman"/>
          <w:bCs/>
          <w:sz w:val="28"/>
          <w:szCs w:val="28"/>
        </w:rPr>
        <w:t xml:space="preserve">égions </w:t>
      </w:r>
      <w:r w:rsidRPr="00BD2414">
        <w:rPr>
          <w:rFonts w:ascii="Times New Roman" w:hAnsi="Times New Roman" w:cs="Times New Roman"/>
          <w:bCs/>
          <w:sz w:val="28"/>
          <w:szCs w:val="28"/>
        </w:rPr>
        <w:t>que compte le Burkina.</w:t>
      </w:r>
    </w:p>
    <w:p w:rsidR="00917181" w:rsidRPr="00917181" w:rsidRDefault="00917181" w:rsidP="00917181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70514" w:rsidRDefault="00365AD6" w:rsidP="00917181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414">
        <w:rPr>
          <w:rFonts w:ascii="Times New Roman" w:hAnsi="Times New Roman" w:cs="Times New Roman"/>
          <w:sz w:val="28"/>
          <w:szCs w:val="28"/>
        </w:rPr>
        <w:t xml:space="preserve">Au total </w:t>
      </w:r>
      <w:bookmarkStart w:id="0" w:name="_GoBack"/>
      <w:bookmarkEnd w:id="0"/>
      <w:r w:rsidRPr="00BD2414">
        <w:rPr>
          <w:rFonts w:ascii="Times New Roman" w:hAnsi="Times New Roman" w:cs="Times New Roman"/>
          <w:sz w:val="28"/>
          <w:szCs w:val="28"/>
        </w:rPr>
        <w:t>496 bureaux de votes ont été couverts à travers le territoire national par la mission d’observation de la Commission épiscopale Justice et Paix.</w:t>
      </w:r>
    </w:p>
    <w:p w:rsidR="00087880" w:rsidRPr="00917181" w:rsidRDefault="00365AD6" w:rsidP="00160A61">
      <w:pPr>
        <w:pStyle w:val="Paragraphedeliste"/>
        <w:spacing w:line="360" w:lineRule="auto"/>
        <w:ind w:left="0" w:firstLine="360"/>
        <w:jc w:val="both"/>
        <w:rPr>
          <w:rFonts w:ascii="Times New Roman" w:hAnsi="Times New Roman" w:cs="Times New Roman"/>
          <w:sz w:val="8"/>
          <w:szCs w:val="8"/>
        </w:rPr>
      </w:pPr>
      <w:r w:rsidRPr="00917181">
        <w:rPr>
          <w:rFonts w:ascii="Times New Roman" w:hAnsi="Times New Roman" w:cs="Times New Roman"/>
          <w:sz w:val="8"/>
          <w:szCs w:val="8"/>
        </w:rPr>
        <w:t xml:space="preserve"> </w:t>
      </w:r>
    </w:p>
    <w:p w:rsidR="00365AD6" w:rsidRDefault="00365AD6" w:rsidP="00365AD6">
      <w:pPr>
        <w:pStyle w:val="Paragraphedeliste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087880" w:rsidRPr="00970514" w:rsidRDefault="00390F07" w:rsidP="00917181">
      <w:pPr>
        <w:pStyle w:val="Paragraphedeliste"/>
        <w:numPr>
          <w:ilvl w:val="0"/>
          <w:numId w:val="35"/>
        </w:numPr>
        <w:spacing w:line="360" w:lineRule="auto"/>
        <w:ind w:left="851" w:hanging="491"/>
        <w:rPr>
          <w:rFonts w:ascii="Arial" w:hAnsi="Arial" w:cs="Arial"/>
          <w:b/>
          <w:sz w:val="24"/>
          <w:szCs w:val="24"/>
        </w:rPr>
      </w:pPr>
      <w:r w:rsidRPr="00087880">
        <w:rPr>
          <w:rFonts w:ascii="Arial" w:hAnsi="Arial" w:cs="Arial"/>
          <w:b/>
          <w:sz w:val="24"/>
          <w:szCs w:val="24"/>
        </w:rPr>
        <w:t xml:space="preserve">Des constatations </w:t>
      </w:r>
      <w:r w:rsidR="004029E5" w:rsidRPr="00087880">
        <w:rPr>
          <w:rFonts w:ascii="Arial" w:hAnsi="Arial" w:cs="Arial"/>
          <w:b/>
          <w:sz w:val="24"/>
          <w:szCs w:val="24"/>
        </w:rPr>
        <w:t xml:space="preserve">générales </w:t>
      </w:r>
      <w:r w:rsidRPr="00087880">
        <w:rPr>
          <w:rFonts w:ascii="Arial" w:hAnsi="Arial" w:cs="Arial"/>
          <w:b/>
          <w:sz w:val="24"/>
          <w:szCs w:val="24"/>
        </w:rPr>
        <w:t>faites sur le terrain</w:t>
      </w:r>
    </w:p>
    <w:p w:rsidR="00365AD6" w:rsidRPr="00E64A88" w:rsidRDefault="00365AD6" w:rsidP="00365AD6">
      <w:pPr>
        <w:pStyle w:val="Paragraphedeliste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65AD6" w:rsidRPr="00087880" w:rsidRDefault="00365AD6" w:rsidP="00087880">
      <w:pPr>
        <w:pStyle w:val="Paragraphedeliste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87880">
        <w:rPr>
          <w:rFonts w:ascii="Arial" w:hAnsi="Arial" w:cs="Arial"/>
          <w:b/>
          <w:sz w:val="24"/>
          <w:szCs w:val="24"/>
        </w:rPr>
        <w:t>De l’ouverture et de la fermeture des bureaux de votes</w:t>
      </w:r>
    </w:p>
    <w:p w:rsidR="00365AD6" w:rsidRPr="00BD2414" w:rsidRDefault="00390F07" w:rsidP="009171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14">
        <w:rPr>
          <w:rFonts w:ascii="Times New Roman" w:hAnsi="Times New Roman" w:cs="Times New Roman"/>
          <w:sz w:val="28"/>
          <w:szCs w:val="28"/>
        </w:rPr>
        <w:t>Selon les données fournies par la mission d’observation,</w:t>
      </w:r>
      <w:r w:rsidR="00365AD6" w:rsidRPr="00BD2414">
        <w:rPr>
          <w:rFonts w:ascii="Times New Roman" w:hAnsi="Times New Roman" w:cs="Times New Roman"/>
          <w:sz w:val="28"/>
          <w:szCs w:val="28"/>
        </w:rPr>
        <w:t xml:space="preserve"> </w:t>
      </w:r>
      <w:r w:rsidRPr="00BD2414">
        <w:rPr>
          <w:rFonts w:ascii="Times New Roman" w:hAnsi="Times New Roman" w:cs="Times New Roman"/>
          <w:sz w:val="28"/>
          <w:szCs w:val="28"/>
        </w:rPr>
        <w:t xml:space="preserve">près </w:t>
      </w:r>
      <w:r w:rsidR="00970514">
        <w:rPr>
          <w:rFonts w:ascii="Times New Roman" w:hAnsi="Times New Roman" w:cs="Times New Roman"/>
          <w:sz w:val="28"/>
          <w:szCs w:val="28"/>
        </w:rPr>
        <w:t xml:space="preserve">de </w:t>
      </w:r>
      <w:r w:rsidR="00365AD6" w:rsidRPr="00BD2414">
        <w:rPr>
          <w:rFonts w:ascii="Times New Roman" w:hAnsi="Times New Roman" w:cs="Times New Roman"/>
          <w:sz w:val="28"/>
          <w:szCs w:val="28"/>
        </w:rPr>
        <w:t>81,9% des bureaux de votes couverts ont r</w:t>
      </w:r>
      <w:r w:rsidRPr="00BD2414">
        <w:rPr>
          <w:rFonts w:ascii="Times New Roman" w:hAnsi="Times New Roman" w:cs="Times New Roman"/>
          <w:sz w:val="28"/>
          <w:szCs w:val="28"/>
        </w:rPr>
        <w:t>especté l’heure d’ouverture à 6H00 et</w:t>
      </w:r>
      <w:r w:rsidR="00365AD6" w:rsidRPr="00BD2414">
        <w:rPr>
          <w:rFonts w:ascii="Times New Roman" w:hAnsi="Times New Roman" w:cs="Times New Roman"/>
          <w:sz w:val="28"/>
          <w:szCs w:val="28"/>
        </w:rPr>
        <w:t xml:space="preserve"> 100% ont respecté l’heure de fermeture à </w:t>
      </w:r>
      <w:r w:rsidRPr="00620280">
        <w:rPr>
          <w:rFonts w:ascii="Times New Roman" w:hAnsi="Times New Roman" w:cs="Times New Roman"/>
          <w:sz w:val="28"/>
          <w:szCs w:val="28"/>
        </w:rPr>
        <w:t>18H</w:t>
      </w:r>
      <w:r w:rsidR="00365AD6" w:rsidRPr="00620280">
        <w:rPr>
          <w:rFonts w:ascii="Times New Roman" w:hAnsi="Times New Roman" w:cs="Times New Roman"/>
          <w:sz w:val="28"/>
          <w:szCs w:val="28"/>
        </w:rPr>
        <w:t>00.</w:t>
      </w:r>
      <w:r w:rsidR="00365AD6" w:rsidRPr="00BD2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F07" w:rsidRPr="00BD2414" w:rsidRDefault="00365AD6" w:rsidP="00917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414">
        <w:rPr>
          <w:rFonts w:ascii="Times New Roman" w:hAnsi="Times New Roman" w:cs="Times New Roman"/>
          <w:sz w:val="28"/>
          <w:szCs w:val="28"/>
        </w:rPr>
        <w:t xml:space="preserve">La mission d’observation </w:t>
      </w:r>
      <w:r w:rsidR="00390F07" w:rsidRPr="00BD2414">
        <w:rPr>
          <w:rFonts w:ascii="Times New Roman" w:hAnsi="Times New Roman" w:cs="Times New Roman"/>
          <w:sz w:val="28"/>
          <w:szCs w:val="28"/>
        </w:rPr>
        <w:t>a noté</w:t>
      </w:r>
      <w:r w:rsidRPr="00BD2414">
        <w:rPr>
          <w:rFonts w:ascii="Times New Roman" w:hAnsi="Times New Roman" w:cs="Times New Roman"/>
          <w:sz w:val="28"/>
          <w:szCs w:val="28"/>
        </w:rPr>
        <w:t xml:space="preserve"> la présence effective des forces de défense et de sécurité qui ont fait l’effort </w:t>
      </w:r>
      <w:r w:rsidR="00390F07" w:rsidRPr="00BD2414">
        <w:rPr>
          <w:rFonts w:ascii="Times New Roman" w:hAnsi="Times New Roman" w:cs="Times New Roman"/>
          <w:sz w:val="28"/>
          <w:szCs w:val="28"/>
        </w:rPr>
        <w:t>d’être à</w:t>
      </w:r>
      <w:r w:rsidRPr="00BD2414">
        <w:rPr>
          <w:rFonts w:ascii="Times New Roman" w:hAnsi="Times New Roman" w:cs="Times New Roman"/>
          <w:sz w:val="28"/>
          <w:szCs w:val="28"/>
        </w:rPr>
        <w:t xml:space="preserve"> l’ouverture du scrutin dans les bureaux de vote</w:t>
      </w:r>
      <w:r w:rsidR="00390F07" w:rsidRPr="00BD2414">
        <w:rPr>
          <w:rFonts w:ascii="Times New Roman" w:hAnsi="Times New Roman" w:cs="Times New Roman"/>
          <w:sz w:val="28"/>
          <w:szCs w:val="28"/>
        </w:rPr>
        <w:t xml:space="preserve"> et qui ont accompli leur mission avec professionnalisme</w:t>
      </w:r>
      <w:r w:rsidRPr="00BD2414">
        <w:rPr>
          <w:rFonts w:ascii="Times New Roman" w:hAnsi="Times New Roman" w:cs="Times New Roman"/>
          <w:sz w:val="28"/>
          <w:szCs w:val="28"/>
        </w:rPr>
        <w:t xml:space="preserve">. </w:t>
      </w:r>
      <w:r w:rsidR="006742DA">
        <w:rPr>
          <w:rFonts w:ascii="Times New Roman" w:hAnsi="Times New Roman" w:cs="Times New Roman"/>
          <w:sz w:val="28"/>
          <w:szCs w:val="28"/>
        </w:rPr>
        <w:t>On note cependant que certains b</w:t>
      </w:r>
      <w:r w:rsidR="001362FC" w:rsidRPr="00BD2414">
        <w:rPr>
          <w:rFonts w:ascii="Times New Roman" w:hAnsi="Times New Roman" w:cs="Times New Roman"/>
          <w:sz w:val="28"/>
          <w:szCs w:val="28"/>
        </w:rPr>
        <w:t>ureaux de vote éta</w:t>
      </w:r>
      <w:r w:rsidR="006742DA">
        <w:rPr>
          <w:rFonts w:ascii="Times New Roman" w:hAnsi="Times New Roman" w:cs="Times New Roman"/>
          <w:sz w:val="28"/>
          <w:szCs w:val="28"/>
        </w:rPr>
        <w:t>ient inexistants dans certaines localités.</w:t>
      </w:r>
      <w:r w:rsidR="001362FC" w:rsidRPr="00BD2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880" w:rsidRPr="00917181" w:rsidRDefault="00087880" w:rsidP="001362FC">
      <w:pPr>
        <w:spacing w:line="360" w:lineRule="auto"/>
        <w:ind w:firstLine="360"/>
        <w:rPr>
          <w:rFonts w:ascii="Arial" w:hAnsi="Arial" w:cs="Arial"/>
          <w:color w:val="FF0000"/>
          <w:sz w:val="12"/>
          <w:szCs w:val="12"/>
        </w:rPr>
      </w:pPr>
    </w:p>
    <w:p w:rsidR="00365AD6" w:rsidRPr="00087880" w:rsidRDefault="00365AD6" w:rsidP="00087880">
      <w:pPr>
        <w:pStyle w:val="Paragraphedeliste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87880">
        <w:rPr>
          <w:rFonts w:ascii="Arial" w:hAnsi="Arial" w:cs="Arial"/>
          <w:b/>
          <w:sz w:val="24"/>
          <w:szCs w:val="24"/>
        </w:rPr>
        <w:t>Du déroulement des opérations de vote</w:t>
      </w:r>
    </w:p>
    <w:p w:rsidR="008B673B" w:rsidRPr="0038609B" w:rsidRDefault="001362FC" w:rsidP="009171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09B">
        <w:rPr>
          <w:rFonts w:ascii="Times New Roman" w:hAnsi="Times New Roman" w:cs="Times New Roman"/>
          <w:sz w:val="28"/>
          <w:szCs w:val="28"/>
        </w:rPr>
        <w:t>D</w:t>
      </w:r>
      <w:r w:rsidR="00365AD6" w:rsidRPr="0038609B">
        <w:rPr>
          <w:rFonts w:ascii="Times New Roman" w:hAnsi="Times New Roman" w:cs="Times New Roman"/>
          <w:sz w:val="28"/>
          <w:szCs w:val="28"/>
        </w:rPr>
        <w:t>e manière générale, les opérations de vote se sont dérou</w:t>
      </w:r>
      <w:r w:rsidR="008B673B" w:rsidRPr="0038609B">
        <w:rPr>
          <w:rFonts w:ascii="Times New Roman" w:hAnsi="Times New Roman" w:cs="Times New Roman"/>
          <w:sz w:val="28"/>
          <w:szCs w:val="28"/>
        </w:rPr>
        <w:t>lées dans le calme, la sérénité et</w:t>
      </w:r>
      <w:r w:rsidR="00365AD6" w:rsidRPr="0038609B">
        <w:rPr>
          <w:rFonts w:ascii="Times New Roman" w:hAnsi="Times New Roman" w:cs="Times New Roman"/>
          <w:sz w:val="28"/>
          <w:szCs w:val="28"/>
        </w:rPr>
        <w:t xml:space="preserve"> la transparence</w:t>
      </w:r>
      <w:r w:rsidRPr="0038609B">
        <w:rPr>
          <w:rFonts w:ascii="Times New Roman" w:hAnsi="Times New Roman" w:cs="Times New Roman"/>
          <w:sz w:val="28"/>
          <w:szCs w:val="28"/>
        </w:rPr>
        <w:t xml:space="preserve">. La Commission note avec satisfaction, sur la base des données fournies par les observateurs, les points ci-après : </w:t>
      </w:r>
    </w:p>
    <w:p w:rsidR="00365AD6" w:rsidRPr="0038609B" w:rsidRDefault="00365AD6" w:rsidP="00365AD6">
      <w:pPr>
        <w:pStyle w:val="Paragraphedeliste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procédures d’ouverture et de </w:t>
      </w:r>
      <w:r w:rsidR="001362FC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vote ont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, dans l’ensemble, été bien respectées par les acteurs ;</w:t>
      </w:r>
    </w:p>
    <w:p w:rsidR="00365AD6" w:rsidRPr="0038609B" w:rsidRDefault="00365AD6" w:rsidP="00365AD6">
      <w:pPr>
        <w:pStyle w:val="Paragraphedeliste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</w:t>
      </w:r>
      <w:r w:rsidR="00390F07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procédures d’identification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des électeurs étaient respectées ;</w:t>
      </w:r>
    </w:p>
    <w:p w:rsidR="00365AD6" w:rsidRPr="0038609B" w:rsidRDefault="00365AD6" w:rsidP="00365AD6">
      <w:pPr>
        <w:pStyle w:val="Paragraphedeliste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La présence des dispositifs sécuritaires dans les bureaux de vote et les patrouilles ont permis aux citoyens de voter dans la quiétude ;</w:t>
      </w:r>
    </w:p>
    <w:p w:rsidR="00365AD6" w:rsidRPr="0038609B" w:rsidRDefault="00365AD6" w:rsidP="00365AD6">
      <w:pPr>
        <w:pStyle w:val="Paragraphedeliste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De manière générale, le secret du vote était garanti dans les bureaux de vote;</w:t>
      </w:r>
    </w:p>
    <w:p w:rsidR="00365AD6" w:rsidRPr="0038609B" w:rsidRDefault="00365AD6" w:rsidP="00365AD6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Les partis politiques étaient représentés dans la majeure partie des bureaux de vote visités ;</w:t>
      </w:r>
    </w:p>
    <w:p w:rsidR="001362FC" w:rsidRPr="0038609B" w:rsidRDefault="001362FC" w:rsidP="00FD5AB5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vote, dans l’ensemble, s’est déroulé sans 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violence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s ni</w:t>
      </w:r>
      <w:r w:rsidR="006742D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intimidation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s des électeurs ;</w:t>
      </w:r>
    </w:p>
    <w:p w:rsidR="008B673B" w:rsidRPr="0038609B" w:rsidRDefault="008B673B" w:rsidP="008B673B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 nombreuses </w:t>
      </w:r>
      <w:r w:rsidR="001362FC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autres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missions d’observation 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étaient présentes sur le terrain</w:t>
      </w:r>
      <w:r w:rsidR="001362FC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, notamment celles de la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CODEL</w:t>
      </w:r>
      <w:r w:rsidR="001362FC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de </w:t>
      </w:r>
      <w:proofErr w:type="spellStart"/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Diakonia</w:t>
      </w:r>
      <w:proofErr w:type="spellEnd"/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, de la Cour constitutionnelle, de l’</w:t>
      </w:r>
      <w:r w:rsidR="00365AD6" w:rsidRPr="0038609B">
        <w:rPr>
          <w:rFonts w:ascii="Times New Roman" w:hAnsi="Times New Roman" w:cs="Times New Roman"/>
          <w:sz w:val="28"/>
          <w:szCs w:val="28"/>
        </w:rPr>
        <w:t>Union</w:t>
      </w:r>
      <w:r w:rsidR="0076786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fricaine</w:t>
      </w:r>
      <w:r w:rsidR="00F36DC3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des ONG de développement (UAOD), du Mouvement Burkinabé des Droits de l'Homme et des Peuples (MBDHP), de</w:t>
      </w:r>
      <w:r w:rsidR="00365AD6" w:rsidRPr="0038609B">
        <w:rPr>
          <w:rFonts w:ascii="Times New Roman" w:hAnsi="Times New Roman" w:cs="Times New Roman"/>
          <w:sz w:val="28"/>
          <w:szCs w:val="28"/>
        </w:rPr>
        <w:t xml:space="preserve"> 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Observateurs sans frontières (</w:t>
      </w:r>
      <w:r w:rsidR="00365AD6" w:rsidRPr="0038609B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OSF</w:t>
      </w:r>
      <w:r w:rsidR="009203C2">
        <w:rPr>
          <w:rFonts w:ascii="Times New Roman" w:eastAsia="Times New Roman" w:hAnsi="Times New Roman" w:cs="Times New Roman"/>
          <w:sz w:val="28"/>
          <w:szCs w:val="28"/>
          <w:lang w:eastAsia="fr-FR"/>
        </w:rPr>
        <w:t>), du Balai citoyen, du réseau o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uest-africain pour la consolidation de </w:t>
      </w:r>
      <w:r w:rsidR="00F36D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paix (WANEP), de </w:t>
      </w:r>
      <w:r w:rsidR="009203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</w:t>
      </w:r>
      <w:r w:rsidR="00F36DC3">
        <w:rPr>
          <w:rFonts w:ascii="Times New Roman" w:eastAsia="Times New Roman" w:hAnsi="Times New Roman" w:cs="Times New Roman"/>
          <w:sz w:val="28"/>
          <w:szCs w:val="28"/>
          <w:lang w:eastAsia="fr-FR"/>
        </w:rPr>
        <w:t>Commission Nationale des D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roits de l’Homme (CNDH), de la mission d’observation de la CEDEAO, du CERFI, du S.21</w:t>
      </w:r>
      <w:r w:rsidR="00F36DC3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du REN-LAC</w:t>
      </w:r>
      <w:r w:rsidR="001362FC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etc.</w:t>
      </w:r>
    </w:p>
    <w:p w:rsidR="00365AD6" w:rsidRPr="0038609B" w:rsidRDefault="00365AD6" w:rsidP="004029E5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hAnsi="Times New Roman" w:cs="Times New Roman"/>
          <w:sz w:val="28"/>
          <w:szCs w:val="28"/>
        </w:rPr>
        <w:t>Les opérations de dépouillement se sont globalement déroulées sans incident majeur</w:t>
      </w:r>
      <w:r w:rsidR="008B673B" w:rsidRPr="0038609B">
        <w:rPr>
          <w:rFonts w:ascii="Times New Roman" w:hAnsi="Times New Roman" w:cs="Times New Roman"/>
          <w:sz w:val="28"/>
          <w:szCs w:val="28"/>
        </w:rPr>
        <w:t xml:space="preserve"> malgré </w:t>
      </w:r>
      <w:r w:rsidRPr="0038609B">
        <w:rPr>
          <w:rFonts w:ascii="Times New Roman" w:hAnsi="Times New Roman" w:cs="Times New Roman"/>
          <w:sz w:val="28"/>
          <w:szCs w:val="28"/>
        </w:rPr>
        <w:t xml:space="preserve">quelques </w:t>
      </w:r>
      <w:r w:rsidR="008B673B" w:rsidRPr="0038609B">
        <w:rPr>
          <w:rFonts w:ascii="Times New Roman" w:hAnsi="Times New Roman" w:cs="Times New Roman"/>
          <w:sz w:val="28"/>
          <w:szCs w:val="28"/>
        </w:rPr>
        <w:t>discussions sur l’état de certains bulletins</w:t>
      </w:r>
      <w:r w:rsidRPr="0038609B">
        <w:rPr>
          <w:rFonts w:ascii="Times New Roman" w:hAnsi="Times New Roman" w:cs="Times New Roman"/>
          <w:sz w:val="28"/>
          <w:szCs w:val="28"/>
        </w:rPr>
        <w:t>.</w:t>
      </w:r>
    </w:p>
    <w:p w:rsidR="008B673B" w:rsidRPr="009D51AE" w:rsidRDefault="008B673B" w:rsidP="00365A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5AD6" w:rsidRDefault="00365AD6" w:rsidP="00917181">
      <w:pPr>
        <w:pStyle w:val="Paragraphedeliste"/>
        <w:numPr>
          <w:ilvl w:val="0"/>
          <w:numId w:val="36"/>
        </w:numPr>
        <w:spacing w:line="360" w:lineRule="auto"/>
        <w:ind w:left="851" w:hanging="425"/>
        <w:rPr>
          <w:rFonts w:ascii="Arial" w:hAnsi="Arial" w:cs="Arial"/>
          <w:b/>
          <w:sz w:val="24"/>
          <w:szCs w:val="24"/>
        </w:rPr>
      </w:pPr>
      <w:r w:rsidRPr="009D51AE">
        <w:rPr>
          <w:rFonts w:ascii="Arial" w:hAnsi="Arial" w:cs="Arial"/>
          <w:b/>
          <w:sz w:val="24"/>
          <w:szCs w:val="24"/>
        </w:rPr>
        <w:t xml:space="preserve">Des incidents </w:t>
      </w:r>
      <w:r w:rsidR="0038609B">
        <w:rPr>
          <w:rFonts w:ascii="Arial" w:hAnsi="Arial" w:cs="Arial"/>
          <w:b/>
          <w:sz w:val="24"/>
          <w:szCs w:val="24"/>
        </w:rPr>
        <w:t>relevés</w:t>
      </w:r>
    </w:p>
    <w:p w:rsidR="0038609B" w:rsidRPr="009D51AE" w:rsidRDefault="0038609B" w:rsidP="0038609B">
      <w:pPr>
        <w:pStyle w:val="Paragraphedeliste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365AD6" w:rsidRPr="0038609B" w:rsidRDefault="005B7DB7" w:rsidP="0038609B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Impossibilité de voter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pour certains électeurs 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à cause de transfert</w:t>
      </w:r>
      <w:r w:rsidR="008B673B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inattendu</w:t>
      </w:r>
      <w:r w:rsidR="008B673B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bureaux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vote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</w:t>
      </w:r>
      <w:proofErr w:type="spellStart"/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Ouarégou</w:t>
      </w:r>
      <w:proofErr w:type="spellEnd"/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Begdo</w:t>
      </w:r>
      <w:proofErr w:type="spellEnd"/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</w:t>
      </w:r>
      <w:proofErr w:type="spellStart"/>
      <w:r w:rsidR="008B673B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Garango</w:t>
      </w:r>
      <w:proofErr w:type="spellEnd"/>
      <w:r w:rsidR="008B673B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 ;</w:t>
      </w:r>
    </w:p>
    <w:p w:rsidR="00365AD6" w:rsidRPr="0038609B" w:rsidRDefault="005B7DB7" w:rsidP="0038609B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Impossibilité de voter pour certains électeurs,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soit parce que </w:t>
      </w:r>
      <w:r w:rsidR="008B673B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leurs noms ne figuraie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nt pas sur les listes électorales, soit parce que les numéros de leurs cartes d’électeurs et ceux des bureaux de vote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n’étaient 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pas conformes;</w:t>
      </w:r>
    </w:p>
    <w:p w:rsidR="00365AD6" w:rsidRPr="0038609B" w:rsidRDefault="00365AD6" w:rsidP="0038609B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hAnsi="Times New Roman" w:cs="Times New Roman"/>
          <w:sz w:val="28"/>
          <w:szCs w:val="28"/>
        </w:rPr>
        <w:t>Absence de formulaires de Procès-Verbaux à l’ouverture de certains bureaux de vote ;</w:t>
      </w:r>
    </w:p>
    <w:p w:rsidR="00365AD6" w:rsidRPr="0038609B" w:rsidRDefault="00365AD6" w:rsidP="0038609B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9B">
        <w:rPr>
          <w:rFonts w:ascii="Times New Roman" w:hAnsi="Times New Roman" w:cs="Times New Roman"/>
          <w:sz w:val="28"/>
          <w:szCs w:val="28"/>
        </w:rPr>
        <w:t>Manque de bulletins de vote ayant abouti à des frustrations ;</w:t>
      </w:r>
    </w:p>
    <w:p w:rsidR="00365AD6" w:rsidRPr="0038609B" w:rsidRDefault="00365AD6" w:rsidP="0038609B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Manque d'éclairage ou lampes défaillantes dans certaines zones où le dépouillement s'est fait avec des lampes de téléphones</w:t>
      </w:r>
      <w:r w:rsidR="005B7DB7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portables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 ;</w:t>
      </w:r>
    </w:p>
    <w:p w:rsidR="00365AD6" w:rsidRPr="0038609B" w:rsidRDefault="005B7DB7" w:rsidP="0038609B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Désaccords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sur la validité de certains bulletins 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dus à des différences de couleur de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l'encre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;</w:t>
      </w:r>
    </w:p>
    <w:p w:rsidR="00365AD6" w:rsidRPr="0038609B" w:rsidRDefault="005B7DB7" w:rsidP="0038609B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Difficultés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certains électeurs à retrouver leurs bureaux de vote ;</w:t>
      </w:r>
    </w:p>
    <w:p w:rsidR="00365AD6" w:rsidRPr="0038609B" w:rsidRDefault="005B7DB7" w:rsidP="0038609B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Retard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d’ouverture de certains bureaux de vote dû à l’absence de listes électorales (Fada), à la mauvaise qualité du matériel de bureaux de votes, à l'absence de fiches et autres fournitures de bureau de vote 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ou à cause de l’absence de certains membres </w:t>
      </w:r>
      <w:r w:rsidR="006742D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du personnel des 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bureaux de vote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; </w:t>
      </w:r>
    </w:p>
    <w:p w:rsidR="00365AD6" w:rsidRPr="0038609B" w:rsidRDefault="00365AD6" w:rsidP="0038609B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Différence entre le matériel utilisé pour la formation et le matériel déployé dans les bureaux de vote (Dédougou) ;</w:t>
      </w:r>
    </w:p>
    <w:p w:rsidR="00365AD6" w:rsidRPr="0038609B" w:rsidRDefault="00365AD6" w:rsidP="0038609B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Confidentialité du vote non garantie par les isoloirs dans certains bureaux de vote</w:t>
      </w:r>
      <w:r w:rsidR="005B7DB7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(</w:t>
      </w:r>
      <w:proofErr w:type="spellStart"/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Begdo</w:t>
      </w:r>
      <w:proofErr w:type="spellEnd"/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) ; </w:t>
      </w:r>
    </w:p>
    <w:p w:rsidR="00365AD6" w:rsidRPr="0038609B" w:rsidRDefault="005B7DB7" w:rsidP="0038609B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Refus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d’un Président de bureau de vote de signer le document d'observation (</w:t>
      </w:r>
      <w:proofErr w:type="spellStart"/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Sasma</w:t>
      </w:r>
      <w:proofErr w:type="spellEnd"/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) ;</w:t>
      </w:r>
    </w:p>
    <w:p w:rsidR="00365AD6" w:rsidRPr="0038609B" w:rsidRDefault="009201ED" w:rsidP="0038609B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Liste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électorale contenant plus d’inscrits qu’il y en a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vait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sur la liste 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du bureau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vote ;</w:t>
      </w:r>
    </w:p>
    <w:p w:rsidR="00365AD6" w:rsidRPr="0038609B" w:rsidRDefault="00365AD6" w:rsidP="0038609B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Non affichage des listes électorales devant les bureaux de vote ;</w:t>
      </w:r>
    </w:p>
    <w:p w:rsidR="008B673B" w:rsidRPr="0038609B" w:rsidRDefault="009201ED" w:rsidP="0038609B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Ouverture très tardive de bureaux de vote (Comme au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Centre </w:t>
      </w:r>
      <w:proofErr w:type="spellStart"/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Beneb-noma</w:t>
      </w:r>
      <w:proofErr w:type="spellEnd"/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</w:t>
      </w:r>
      <w:proofErr w:type="spellStart"/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koudougou</w:t>
      </w:r>
      <w:proofErr w:type="spellEnd"/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jusqu'à 14h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 ;</w:t>
      </w:r>
    </w:p>
    <w:p w:rsidR="008B673B" w:rsidRPr="0038609B" w:rsidRDefault="009201ED" w:rsidP="0038609B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Exiguïté de c</w:t>
      </w:r>
      <w:r w:rsidR="008B673B" w:rsidRPr="0038609B">
        <w:rPr>
          <w:rFonts w:ascii="Times New Roman" w:hAnsi="Times New Roman" w:cs="Times New Roman"/>
          <w:sz w:val="28"/>
          <w:szCs w:val="28"/>
        </w:rPr>
        <w:t xml:space="preserve">ertains bureaux de vote </w:t>
      </w:r>
      <w:r w:rsidRPr="0038609B">
        <w:rPr>
          <w:rFonts w:ascii="Times New Roman" w:hAnsi="Times New Roman" w:cs="Times New Roman"/>
          <w:sz w:val="28"/>
          <w:szCs w:val="28"/>
        </w:rPr>
        <w:t>et faible éclairage</w:t>
      </w:r>
      <w:r w:rsidR="008B673B" w:rsidRPr="0038609B">
        <w:rPr>
          <w:rFonts w:ascii="Times New Roman" w:hAnsi="Times New Roman" w:cs="Times New Roman"/>
          <w:sz w:val="28"/>
          <w:szCs w:val="28"/>
        </w:rPr>
        <w:t xml:space="preserve"> </w:t>
      </w:r>
      <w:r w:rsidRPr="0038609B">
        <w:rPr>
          <w:rFonts w:ascii="Times New Roman" w:hAnsi="Times New Roman" w:cs="Times New Roman"/>
          <w:sz w:val="28"/>
          <w:szCs w:val="28"/>
        </w:rPr>
        <w:t>ne facilitant pas le scrutin</w:t>
      </w:r>
      <w:r w:rsidR="008B673B" w:rsidRPr="0038609B">
        <w:rPr>
          <w:rFonts w:ascii="Times New Roman" w:hAnsi="Times New Roman" w:cs="Times New Roman"/>
          <w:sz w:val="28"/>
          <w:szCs w:val="28"/>
        </w:rPr>
        <w:t>.</w:t>
      </w:r>
    </w:p>
    <w:p w:rsidR="005B7DB7" w:rsidRPr="0038609B" w:rsidRDefault="004029E5" w:rsidP="0038609B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9B">
        <w:rPr>
          <w:rFonts w:ascii="Times New Roman" w:hAnsi="Times New Roman" w:cs="Times New Roman"/>
          <w:sz w:val="28"/>
          <w:szCs w:val="28"/>
        </w:rPr>
        <w:t xml:space="preserve">Incompétence </w:t>
      </w:r>
      <w:r w:rsidR="009201ED" w:rsidRPr="0038609B">
        <w:rPr>
          <w:rFonts w:ascii="Times New Roman" w:hAnsi="Times New Roman" w:cs="Times New Roman"/>
          <w:sz w:val="28"/>
          <w:szCs w:val="28"/>
        </w:rPr>
        <w:t xml:space="preserve">ou niveau de formation très bas </w:t>
      </w:r>
      <w:r w:rsidRPr="0038609B">
        <w:rPr>
          <w:rFonts w:ascii="Times New Roman" w:hAnsi="Times New Roman" w:cs="Times New Roman"/>
          <w:sz w:val="28"/>
          <w:szCs w:val="28"/>
        </w:rPr>
        <w:t>de certa</w:t>
      </w:r>
      <w:r w:rsidR="009201ED" w:rsidRPr="0038609B">
        <w:rPr>
          <w:rFonts w:ascii="Times New Roman" w:hAnsi="Times New Roman" w:cs="Times New Roman"/>
          <w:sz w:val="28"/>
          <w:szCs w:val="28"/>
        </w:rPr>
        <w:t xml:space="preserve">ins membres des bureaux de vote. </w:t>
      </w:r>
      <w:r w:rsidRPr="0038609B">
        <w:rPr>
          <w:rFonts w:ascii="Times New Roman" w:hAnsi="Times New Roman" w:cs="Times New Roman"/>
          <w:sz w:val="28"/>
          <w:szCs w:val="28"/>
        </w:rPr>
        <w:t xml:space="preserve">Cela a eu comme conséquence, la non maîtrise des procédures de vote (Bureau de vote école </w:t>
      </w:r>
      <w:proofErr w:type="spellStart"/>
      <w:r w:rsidRPr="0038609B">
        <w:rPr>
          <w:rFonts w:ascii="Times New Roman" w:hAnsi="Times New Roman" w:cs="Times New Roman"/>
          <w:sz w:val="28"/>
          <w:szCs w:val="28"/>
        </w:rPr>
        <w:t>Bangpooré</w:t>
      </w:r>
      <w:proofErr w:type="spellEnd"/>
      <w:r w:rsidRPr="003860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8609B">
        <w:rPr>
          <w:rFonts w:ascii="Times New Roman" w:hAnsi="Times New Roman" w:cs="Times New Roman"/>
          <w:sz w:val="28"/>
          <w:szCs w:val="28"/>
        </w:rPr>
        <w:t>Tampouy</w:t>
      </w:r>
      <w:proofErr w:type="spellEnd"/>
      <w:r w:rsidRPr="00386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09B">
        <w:rPr>
          <w:rFonts w:ascii="Times New Roman" w:hAnsi="Times New Roman" w:cs="Times New Roman"/>
          <w:sz w:val="28"/>
          <w:szCs w:val="28"/>
        </w:rPr>
        <w:t>Diebougou</w:t>
      </w:r>
      <w:proofErr w:type="spellEnd"/>
      <w:r w:rsidRPr="0038609B">
        <w:rPr>
          <w:rFonts w:ascii="Times New Roman" w:hAnsi="Times New Roman" w:cs="Times New Roman"/>
          <w:sz w:val="28"/>
          <w:szCs w:val="28"/>
        </w:rPr>
        <w:t>), la non maîtrise de l’utilisation du matériel de vote (</w:t>
      </w:r>
      <w:proofErr w:type="spellStart"/>
      <w:r w:rsidRPr="0038609B">
        <w:rPr>
          <w:rFonts w:ascii="Times New Roman" w:hAnsi="Times New Roman" w:cs="Times New Roman"/>
          <w:sz w:val="28"/>
          <w:szCs w:val="28"/>
        </w:rPr>
        <w:t>Diébougou</w:t>
      </w:r>
      <w:proofErr w:type="spellEnd"/>
      <w:r w:rsidRPr="0038609B">
        <w:rPr>
          <w:rFonts w:ascii="Times New Roman" w:hAnsi="Times New Roman" w:cs="Times New Roman"/>
          <w:sz w:val="28"/>
          <w:szCs w:val="28"/>
        </w:rPr>
        <w:t>), la non maîtrise des opérations de dépouillement, les surcharges sur les procès-verbaux (Bureau de vote N°1, arrond5, FABAO</w:t>
      </w:r>
      <w:r w:rsidR="009201ED" w:rsidRPr="0038609B">
        <w:rPr>
          <w:rFonts w:ascii="Times New Roman" w:hAnsi="Times New Roman" w:cs="Times New Roman"/>
          <w:sz w:val="28"/>
          <w:szCs w:val="28"/>
        </w:rPr>
        <w:t>), la</w:t>
      </w:r>
      <w:r w:rsidRPr="0038609B">
        <w:rPr>
          <w:rFonts w:ascii="Times New Roman" w:hAnsi="Times New Roman" w:cs="Times New Roman"/>
          <w:sz w:val="28"/>
          <w:szCs w:val="28"/>
        </w:rPr>
        <w:t xml:space="preserve"> frustration de certains délégués de partis politiques </w:t>
      </w:r>
      <w:r w:rsidR="009201ED" w:rsidRPr="0038609B">
        <w:rPr>
          <w:rFonts w:ascii="Times New Roman" w:hAnsi="Times New Roman" w:cs="Times New Roman"/>
          <w:sz w:val="28"/>
          <w:szCs w:val="28"/>
        </w:rPr>
        <w:t>qui se</w:t>
      </w:r>
      <w:r w:rsidRPr="0038609B">
        <w:rPr>
          <w:rFonts w:ascii="Times New Roman" w:hAnsi="Times New Roman" w:cs="Times New Roman"/>
          <w:sz w:val="28"/>
          <w:szCs w:val="28"/>
        </w:rPr>
        <w:t xml:space="preserve"> sont retirés (</w:t>
      </w:r>
      <w:proofErr w:type="spellStart"/>
      <w:r w:rsidRPr="0038609B">
        <w:rPr>
          <w:rFonts w:ascii="Times New Roman" w:hAnsi="Times New Roman" w:cs="Times New Roman"/>
          <w:sz w:val="28"/>
          <w:szCs w:val="28"/>
        </w:rPr>
        <w:t>Karpala</w:t>
      </w:r>
      <w:proofErr w:type="spellEnd"/>
      <w:r w:rsidRPr="0038609B">
        <w:rPr>
          <w:rFonts w:ascii="Times New Roman" w:hAnsi="Times New Roman" w:cs="Times New Roman"/>
          <w:sz w:val="28"/>
          <w:szCs w:val="28"/>
        </w:rPr>
        <w:t>, arrond</w:t>
      </w:r>
      <w:r w:rsidR="001116E6">
        <w:rPr>
          <w:rFonts w:ascii="Times New Roman" w:hAnsi="Times New Roman" w:cs="Times New Roman"/>
          <w:sz w:val="28"/>
          <w:szCs w:val="28"/>
        </w:rPr>
        <w:t>issement</w:t>
      </w:r>
      <w:r w:rsidRPr="0038609B">
        <w:rPr>
          <w:rFonts w:ascii="Times New Roman" w:hAnsi="Times New Roman" w:cs="Times New Roman"/>
          <w:sz w:val="28"/>
          <w:szCs w:val="28"/>
        </w:rPr>
        <w:t xml:space="preserve"> </w:t>
      </w:r>
      <w:r w:rsidR="001116E6">
        <w:rPr>
          <w:rFonts w:ascii="Times New Roman" w:hAnsi="Times New Roman" w:cs="Times New Roman"/>
          <w:sz w:val="28"/>
          <w:szCs w:val="28"/>
        </w:rPr>
        <w:t>n°</w:t>
      </w:r>
      <w:r w:rsidRPr="0038609B">
        <w:rPr>
          <w:rFonts w:ascii="Times New Roman" w:hAnsi="Times New Roman" w:cs="Times New Roman"/>
          <w:sz w:val="28"/>
          <w:szCs w:val="28"/>
        </w:rPr>
        <w:t>11), car ne pouvant plus patienter.</w:t>
      </w:r>
    </w:p>
    <w:p w:rsidR="009201ED" w:rsidRPr="0038609B" w:rsidRDefault="009201ED" w:rsidP="0038609B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Interpellation</w:t>
      </w:r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par les agents de sécurité d’un électeur détenant des bulletins de vote dans ses </w:t>
      </w:r>
      <w:r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poches (</w:t>
      </w:r>
      <w:proofErr w:type="spellStart"/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Bounouna</w:t>
      </w:r>
      <w:proofErr w:type="spellEnd"/>
      <w:r w:rsidR="00365AD6" w:rsidRPr="0038609B">
        <w:rPr>
          <w:rFonts w:ascii="Times New Roman" w:eastAsia="Times New Roman" w:hAnsi="Times New Roman" w:cs="Times New Roman"/>
          <w:sz w:val="28"/>
          <w:szCs w:val="28"/>
          <w:lang w:eastAsia="fr-FR"/>
        </w:rPr>
        <w:t>) ;</w:t>
      </w:r>
    </w:p>
    <w:p w:rsidR="00365AD6" w:rsidRPr="00087880" w:rsidRDefault="00365AD6" w:rsidP="00087880">
      <w:pPr>
        <w:spacing w:line="360" w:lineRule="auto"/>
        <w:rPr>
          <w:rFonts w:ascii="Arial" w:hAnsi="Arial" w:cs="Arial"/>
          <w:sz w:val="24"/>
          <w:szCs w:val="24"/>
        </w:rPr>
      </w:pPr>
    </w:p>
    <w:p w:rsidR="00365AD6" w:rsidRDefault="009201ED" w:rsidP="00917181">
      <w:pPr>
        <w:pStyle w:val="Paragraphedeliste"/>
        <w:numPr>
          <w:ilvl w:val="0"/>
          <w:numId w:val="35"/>
        </w:numPr>
        <w:spacing w:line="360" w:lineRule="auto"/>
        <w:ind w:left="851" w:hanging="49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</w:t>
      </w:r>
      <w:r w:rsidR="00087880" w:rsidRPr="007329B0">
        <w:rPr>
          <w:rFonts w:ascii="Arial" w:hAnsi="Arial" w:cs="Arial"/>
          <w:b/>
          <w:sz w:val="24"/>
          <w:szCs w:val="24"/>
        </w:rPr>
        <w:t>es recommandations</w:t>
      </w:r>
    </w:p>
    <w:p w:rsidR="00A3347B" w:rsidRPr="00A3347B" w:rsidRDefault="00A3347B" w:rsidP="00A3347B">
      <w:pPr>
        <w:pStyle w:val="Paragraphedeliste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5B7DB7" w:rsidRPr="009201ED" w:rsidRDefault="00365AD6" w:rsidP="009201ED">
      <w:pPr>
        <w:pStyle w:val="Paragraphedeliste"/>
        <w:numPr>
          <w:ilvl w:val="0"/>
          <w:numId w:val="42"/>
        </w:numPr>
        <w:rPr>
          <w:rFonts w:ascii="Arial" w:hAnsi="Arial" w:cs="Arial"/>
          <w:b/>
          <w:sz w:val="24"/>
          <w:szCs w:val="24"/>
        </w:rPr>
      </w:pPr>
      <w:r w:rsidRPr="009201ED">
        <w:rPr>
          <w:rFonts w:ascii="Arial" w:hAnsi="Arial" w:cs="Arial"/>
          <w:b/>
          <w:sz w:val="24"/>
          <w:szCs w:val="24"/>
        </w:rPr>
        <w:t>A la CENI</w:t>
      </w:r>
    </w:p>
    <w:p w:rsidR="005B7DB7" w:rsidRPr="005B7DB7" w:rsidRDefault="005B7DB7" w:rsidP="005B7DB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5B7DB7" w:rsidRPr="0038609B" w:rsidRDefault="00365AD6" w:rsidP="005B7DB7">
      <w:pPr>
        <w:pStyle w:val="Paragraphedelist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09B">
        <w:rPr>
          <w:rFonts w:ascii="Times New Roman" w:hAnsi="Times New Roman" w:cs="Times New Roman"/>
          <w:sz w:val="28"/>
          <w:szCs w:val="28"/>
        </w:rPr>
        <w:t>Améliorer le monitoring du déploiement du matériel électoral ;</w:t>
      </w:r>
    </w:p>
    <w:p w:rsidR="005B7DB7" w:rsidRPr="0038609B" w:rsidRDefault="00365AD6" w:rsidP="005B7DB7">
      <w:pPr>
        <w:pStyle w:val="Paragraphedelist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09B">
        <w:rPr>
          <w:rFonts w:ascii="Times New Roman" w:hAnsi="Times New Roman" w:cs="Times New Roman"/>
          <w:sz w:val="28"/>
          <w:szCs w:val="28"/>
        </w:rPr>
        <w:t>Améliorer la qualité du matériel électoral ;</w:t>
      </w:r>
    </w:p>
    <w:p w:rsidR="005B7DB7" w:rsidRPr="0038609B" w:rsidRDefault="00365AD6" w:rsidP="005B7DB7">
      <w:pPr>
        <w:pStyle w:val="Paragraphedelist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09B">
        <w:rPr>
          <w:rFonts w:ascii="Times New Roman" w:hAnsi="Times New Roman" w:cs="Times New Roman"/>
          <w:sz w:val="28"/>
          <w:szCs w:val="28"/>
        </w:rPr>
        <w:t>Mieux former le personnel de</w:t>
      </w:r>
      <w:r w:rsidR="007329B0" w:rsidRPr="0038609B">
        <w:rPr>
          <w:rFonts w:ascii="Times New Roman" w:hAnsi="Times New Roman" w:cs="Times New Roman"/>
          <w:sz w:val="28"/>
          <w:szCs w:val="28"/>
        </w:rPr>
        <w:t>s</w:t>
      </w:r>
      <w:r w:rsidRPr="0038609B">
        <w:rPr>
          <w:rFonts w:ascii="Times New Roman" w:hAnsi="Times New Roman" w:cs="Times New Roman"/>
          <w:sz w:val="28"/>
          <w:szCs w:val="28"/>
        </w:rPr>
        <w:t xml:space="preserve"> bureau</w:t>
      </w:r>
      <w:r w:rsidR="007329B0" w:rsidRPr="0038609B">
        <w:rPr>
          <w:rFonts w:ascii="Times New Roman" w:hAnsi="Times New Roman" w:cs="Times New Roman"/>
          <w:sz w:val="28"/>
          <w:szCs w:val="28"/>
        </w:rPr>
        <w:t>x</w:t>
      </w:r>
      <w:r w:rsidRPr="0038609B">
        <w:rPr>
          <w:rFonts w:ascii="Times New Roman" w:hAnsi="Times New Roman" w:cs="Times New Roman"/>
          <w:sz w:val="28"/>
          <w:szCs w:val="28"/>
        </w:rPr>
        <w:t xml:space="preserve"> de vote ;</w:t>
      </w:r>
    </w:p>
    <w:p w:rsidR="005B7DB7" w:rsidRPr="0038609B" w:rsidRDefault="00365AD6" w:rsidP="005B7DB7">
      <w:pPr>
        <w:pStyle w:val="Paragraphedelist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09B">
        <w:rPr>
          <w:rFonts w:ascii="Times New Roman" w:hAnsi="Times New Roman" w:cs="Times New Roman"/>
          <w:sz w:val="28"/>
          <w:szCs w:val="28"/>
        </w:rPr>
        <w:t xml:space="preserve">Sensibiliser sur la procédure </w:t>
      </w:r>
      <w:r w:rsidR="007329B0" w:rsidRPr="0038609B">
        <w:rPr>
          <w:rFonts w:ascii="Times New Roman" w:hAnsi="Times New Roman" w:cs="Times New Roman"/>
          <w:sz w:val="28"/>
          <w:szCs w:val="28"/>
        </w:rPr>
        <w:t xml:space="preserve">et/ou la manière </w:t>
      </w:r>
      <w:r w:rsidRPr="0038609B">
        <w:rPr>
          <w:rFonts w:ascii="Times New Roman" w:hAnsi="Times New Roman" w:cs="Times New Roman"/>
          <w:sz w:val="28"/>
          <w:szCs w:val="28"/>
        </w:rPr>
        <w:t>de vote</w:t>
      </w:r>
      <w:r w:rsidR="007329B0" w:rsidRPr="0038609B">
        <w:rPr>
          <w:rFonts w:ascii="Times New Roman" w:hAnsi="Times New Roman" w:cs="Times New Roman"/>
          <w:sz w:val="28"/>
          <w:szCs w:val="28"/>
        </w:rPr>
        <w:t>r</w:t>
      </w:r>
      <w:r w:rsidRPr="0038609B">
        <w:rPr>
          <w:rFonts w:ascii="Times New Roman" w:hAnsi="Times New Roman" w:cs="Times New Roman"/>
          <w:sz w:val="28"/>
          <w:szCs w:val="28"/>
        </w:rPr>
        <w:t xml:space="preserve"> afin de réduire les taux élevés de bulletins nuls et d’abstention ;</w:t>
      </w:r>
    </w:p>
    <w:p w:rsidR="005B7DB7" w:rsidRPr="0038609B" w:rsidRDefault="007329B0" w:rsidP="005B7DB7">
      <w:pPr>
        <w:pStyle w:val="Paragraphedelist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09B">
        <w:rPr>
          <w:rFonts w:ascii="Times New Roman" w:hAnsi="Times New Roman" w:cs="Times New Roman"/>
          <w:sz w:val="28"/>
          <w:szCs w:val="28"/>
        </w:rPr>
        <w:t>A</w:t>
      </w:r>
      <w:r w:rsidR="00365AD6" w:rsidRPr="0038609B">
        <w:rPr>
          <w:rFonts w:ascii="Times New Roman" w:hAnsi="Times New Roman" w:cs="Times New Roman"/>
          <w:sz w:val="28"/>
          <w:szCs w:val="28"/>
        </w:rPr>
        <w:t xml:space="preserve">méliorer </w:t>
      </w:r>
      <w:r w:rsidRPr="0038609B">
        <w:rPr>
          <w:rFonts w:ascii="Times New Roman" w:hAnsi="Times New Roman" w:cs="Times New Roman"/>
          <w:sz w:val="28"/>
          <w:szCs w:val="28"/>
        </w:rPr>
        <w:t>la configuration et l’éclairage des isoloirs</w:t>
      </w:r>
      <w:r w:rsidR="00365AD6" w:rsidRPr="0038609B">
        <w:rPr>
          <w:rFonts w:ascii="Times New Roman" w:hAnsi="Times New Roman" w:cs="Times New Roman"/>
          <w:sz w:val="28"/>
          <w:szCs w:val="28"/>
        </w:rPr>
        <w:t>.</w:t>
      </w:r>
      <w:r w:rsidR="00365AD6" w:rsidRPr="003860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7DB7" w:rsidRPr="005B7DB7" w:rsidRDefault="005B7DB7" w:rsidP="005B7DB7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365AD6" w:rsidRPr="009201ED" w:rsidRDefault="00365AD6" w:rsidP="009201ED">
      <w:pPr>
        <w:pStyle w:val="Paragraphedeliste"/>
        <w:numPr>
          <w:ilvl w:val="0"/>
          <w:numId w:val="42"/>
        </w:numPr>
        <w:rPr>
          <w:rFonts w:ascii="Arial" w:hAnsi="Arial" w:cs="Arial"/>
          <w:b/>
          <w:sz w:val="24"/>
          <w:szCs w:val="24"/>
        </w:rPr>
      </w:pPr>
      <w:r w:rsidRPr="009201ED">
        <w:rPr>
          <w:rFonts w:ascii="Arial" w:hAnsi="Arial" w:cs="Arial"/>
          <w:b/>
          <w:sz w:val="24"/>
          <w:szCs w:val="24"/>
        </w:rPr>
        <w:t>Aux partis politiques</w:t>
      </w:r>
    </w:p>
    <w:p w:rsidR="005B7DB7" w:rsidRPr="005B7DB7" w:rsidRDefault="005B7DB7" w:rsidP="005B7DB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365AD6" w:rsidRPr="0038609B" w:rsidRDefault="00365AD6" w:rsidP="005B7DB7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09B">
        <w:rPr>
          <w:rFonts w:ascii="Times New Roman" w:hAnsi="Times New Roman" w:cs="Times New Roman"/>
          <w:sz w:val="28"/>
          <w:szCs w:val="28"/>
        </w:rPr>
        <w:t>Renforcer l’information et la formation des électeurs sur le processus de vote ;</w:t>
      </w:r>
    </w:p>
    <w:p w:rsidR="00365AD6" w:rsidRPr="0038609B" w:rsidRDefault="00365AD6" w:rsidP="005B7DB7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09B">
        <w:rPr>
          <w:rFonts w:ascii="Times New Roman" w:hAnsi="Times New Roman" w:cs="Times New Roman"/>
          <w:sz w:val="28"/>
          <w:szCs w:val="28"/>
        </w:rPr>
        <w:t>Améliorer la formation des délégués de partis politiques</w:t>
      </w:r>
      <w:r w:rsidR="007329B0" w:rsidRPr="0038609B">
        <w:rPr>
          <w:rFonts w:ascii="Times New Roman" w:hAnsi="Times New Roman" w:cs="Times New Roman"/>
          <w:sz w:val="28"/>
          <w:szCs w:val="28"/>
        </w:rPr>
        <w:t> ;</w:t>
      </w:r>
    </w:p>
    <w:p w:rsidR="00365AD6" w:rsidRPr="0038609B" w:rsidRDefault="00365AD6" w:rsidP="005B7DB7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09B">
        <w:rPr>
          <w:rFonts w:ascii="Times New Roman" w:hAnsi="Times New Roman" w:cs="Times New Roman"/>
          <w:sz w:val="28"/>
          <w:szCs w:val="28"/>
        </w:rPr>
        <w:t>Accroître la présence des délégués de partis politiques dans les bureaux de vote;</w:t>
      </w:r>
    </w:p>
    <w:p w:rsidR="007329B0" w:rsidRPr="0038609B" w:rsidRDefault="00365AD6" w:rsidP="005B7DB7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09B">
        <w:rPr>
          <w:rFonts w:ascii="Times New Roman" w:hAnsi="Times New Roman" w:cs="Times New Roman"/>
          <w:sz w:val="28"/>
          <w:szCs w:val="28"/>
        </w:rPr>
        <w:t>Faire preuve de patience lors des</w:t>
      </w:r>
      <w:r w:rsidR="007329B0" w:rsidRPr="0038609B">
        <w:rPr>
          <w:rFonts w:ascii="Times New Roman" w:hAnsi="Times New Roman" w:cs="Times New Roman"/>
          <w:sz w:val="28"/>
          <w:szCs w:val="28"/>
        </w:rPr>
        <w:t xml:space="preserve"> opérations de dépouillement ;</w:t>
      </w:r>
    </w:p>
    <w:p w:rsidR="00365AD6" w:rsidRDefault="005B7DB7" w:rsidP="005B7DB7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09B">
        <w:rPr>
          <w:rFonts w:ascii="Times New Roman" w:hAnsi="Times New Roman" w:cs="Times New Roman"/>
          <w:sz w:val="28"/>
          <w:szCs w:val="28"/>
        </w:rPr>
        <w:t xml:space="preserve">S’en tenir aux voies légales et en temps opportun pour contester les résultats le cas échéant. </w:t>
      </w:r>
    </w:p>
    <w:p w:rsidR="005B7DB7" w:rsidRPr="00917181" w:rsidRDefault="005B7DB7" w:rsidP="00917181">
      <w:pPr>
        <w:spacing w:line="360" w:lineRule="auto"/>
        <w:rPr>
          <w:rFonts w:ascii="Arial" w:hAnsi="Arial" w:cs="Arial"/>
          <w:sz w:val="24"/>
          <w:szCs w:val="24"/>
        </w:rPr>
      </w:pPr>
    </w:p>
    <w:p w:rsidR="00365AD6" w:rsidRDefault="00365AD6" w:rsidP="009201ED">
      <w:pPr>
        <w:pStyle w:val="Paragraphedeliste"/>
        <w:numPr>
          <w:ilvl w:val="0"/>
          <w:numId w:val="42"/>
        </w:numPr>
        <w:rPr>
          <w:rFonts w:ascii="Arial" w:hAnsi="Arial" w:cs="Arial"/>
          <w:b/>
          <w:sz w:val="24"/>
          <w:szCs w:val="24"/>
        </w:rPr>
      </w:pPr>
      <w:r w:rsidRPr="005B7DB7">
        <w:rPr>
          <w:rFonts w:ascii="Arial" w:hAnsi="Arial" w:cs="Arial"/>
          <w:b/>
          <w:sz w:val="24"/>
          <w:szCs w:val="24"/>
        </w:rPr>
        <w:t>Aux organisations de la société civile</w:t>
      </w:r>
    </w:p>
    <w:p w:rsidR="005B7DB7" w:rsidRPr="005B7DB7" w:rsidRDefault="005B7DB7" w:rsidP="005B7DB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365AD6" w:rsidRPr="0038609B" w:rsidRDefault="00365AD6" w:rsidP="0038609B">
      <w:pPr>
        <w:pStyle w:val="Paragraphedeliste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09B">
        <w:rPr>
          <w:rFonts w:ascii="Times New Roman" w:hAnsi="Times New Roman" w:cs="Times New Roman"/>
          <w:sz w:val="28"/>
          <w:szCs w:val="28"/>
        </w:rPr>
        <w:t xml:space="preserve">Poursuivre l’effort de sensibilisation des citoyens </w:t>
      </w:r>
      <w:r w:rsidR="00A3347B">
        <w:rPr>
          <w:rFonts w:ascii="Times New Roman" w:hAnsi="Times New Roman" w:cs="Times New Roman"/>
          <w:sz w:val="28"/>
          <w:szCs w:val="28"/>
        </w:rPr>
        <w:t>sur les valeurs de la citoyenneté et de la démocratie</w:t>
      </w:r>
      <w:r w:rsidRPr="0038609B">
        <w:rPr>
          <w:rFonts w:ascii="Times New Roman" w:hAnsi="Times New Roman" w:cs="Times New Roman"/>
          <w:sz w:val="28"/>
          <w:szCs w:val="28"/>
        </w:rPr>
        <w:t> ;</w:t>
      </w:r>
    </w:p>
    <w:p w:rsidR="009201ED" w:rsidRDefault="00365AD6" w:rsidP="00365AD6">
      <w:pPr>
        <w:pStyle w:val="Paragraphedeliste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09B">
        <w:rPr>
          <w:rFonts w:ascii="Times New Roman" w:hAnsi="Times New Roman" w:cs="Times New Roman"/>
          <w:sz w:val="28"/>
          <w:szCs w:val="28"/>
        </w:rPr>
        <w:t xml:space="preserve">Renforcer la sensibilisation pour une participation </w:t>
      </w:r>
      <w:r w:rsidR="00A3347B">
        <w:rPr>
          <w:rFonts w:ascii="Times New Roman" w:hAnsi="Times New Roman" w:cs="Times New Roman"/>
          <w:sz w:val="28"/>
          <w:szCs w:val="28"/>
        </w:rPr>
        <w:t>plus importante</w:t>
      </w:r>
      <w:r w:rsidRPr="0038609B">
        <w:rPr>
          <w:rFonts w:ascii="Times New Roman" w:hAnsi="Times New Roman" w:cs="Times New Roman"/>
          <w:sz w:val="28"/>
          <w:szCs w:val="28"/>
        </w:rPr>
        <w:t xml:space="preserve"> </w:t>
      </w:r>
      <w:r w:rsidR="00A3347B">
        <w:rPr>
          <w:rFonts w:ascii="Times New Roman" w:hAnsi="Times New Roman" w:cs="Times New Roman"/>
          <w:sz w:val="28"/>
          <w:szCs w:val="28"/>
        </w:rPr>
        <w:t>et la conscientisation des populations pour la recherche et la défense du bien commun ;</w:t>
      </w:r>
    </w:p>
    <w:p w:rsidR="006742DA" w:rsidRDefault="006742DA" w:rsidP="006742DA">
      <w:pPr>
        <w:pStyle w:val="Paragraphedelist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2DA" w:rsidRPr="006742DA" w:rsidRDefault="006742DA" w:rsidP="006742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DA">
        <w:rPr>
          <w:rFonts w:ascii="Times New Roman" w:hAnsi="Times New Roman" w:cs="Times New Roman"/>
          <w:b/>
          <w:sz w:val="28"/>
          <w:szCs w:val="28"/>
        </w:rPr>
        <w:lastRenderedPageBreak/>
        <w:t>Conclusion générale</w:t>
      </w:r>
    </w:p>
    <w:p w:rsidR="009201ED" w:rsidRPr="001A5228" w:rsidRDefault="009201ED" w:rsidP="006742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228">
        <w:rPr>
          <w:rFonts w:ascii="Times New Roman" w:hAnsi="Times New Roman" w:cs="Times New Roman"/>
          <w:sz w:val="28"/>
          <w:szCs w:val="28"/>
        </w:rPr>
        <w:t>Dans le message qu’ils ont adressé aux chrétiens et aux homme</w:t>
      </w:r>
      <w:r w:rsidR="00917181">
        <w:rPr>
          <w:rFonts w:ascii="Times New Roman" w:hAnsi="Times New Roman" w:cs="Times New Roman"/>
          <w:sz w:val="28"/>
          <w:szCs w:val="28"/>
        </w:rPr>
        <w:t>s</w:t>
      </w:r>
      <w:r w:rsidRPr="001A5228">
        <w:rPr>
          <w:rFonts w:ascii="Times New Roman" w:hAnsi="Times New Roman" w:cs="Times New Roman"/>
          <w:sz w:val="28"/>
          <w:szCs w:val="28"/>
        </w:rPr>
        <w:t xml:space="preserve"> de bonne volonté </w:t>
      </w:r>
      <w:r w:rsidR="001A5228" w:rsidRPr="001A5228">
        <w:rPr>
          <w:rFonts w:ascii="Times New Roman" w:hAnsi="Times New Roman" w:cs="Times New Roman"/>
          <w:sz w:val="28"/>
          <w:szCs w:val="28"/>
        </w:rPr>
        <w:t>à l’occasion des élections couplées du 22 novembre 2020</w:t>
      </w:r>
      <w:r w:rsidR="00EE431A">
        <w:rPr>
          <w:rFonts w:ascii="Times New Roman" w:hAnsi="Times New Roman" w:cs="Times New Roman"/>
          <w:sz w:val="28"/>
          <w:szCs w:val="28"/>
        </w:rPr>
        <w:t xml:space="preserve"> (</w:t>
      </w:r>
      <w:r w:rsidR="00EE431A" w:rsidRPr="00EE431A">
        <w:rPr>
          <w:rFonts w:ascii="Times New Roman" w:hAnsi="Times New Roman" w:cs="Times New Roman"/>
          <w:i/>
          <w:sz w:val="28"/>
          <w:szCs w:val="28"/>
        </w:rPr>
        <w:t>Message aux fils et filles de l’Eglise Famille de Dieu au Burkina Faso et aux hommes de bonne volonté à l’orée des élections couplées du 22 novembre 2020</w:t>
      </w:r>
      <w:r w:rsidR="00EE431A">
        <w:rPr>
          <w:rFonts w:ascii="Times New Roman" w:hAnsi="Times New Roman" w:cs="Times New Roman"/>
          <w:sz w:val="28"/>
          <w:szCs w:val="28"/>
        </w:rPr>
        <w:t xml:space="preserve">) </w:t>
      </w:r>
      <w:r w:rsidR="00F06AF7">
        <w:rPr>
          <w:rFonts w:ascii="Times New Roman" w:hAnsi="Times New Roman" w:cs="Times New Roman"/>
          <w:sz w:val="28"/>
          <w:szCs w:val="28"/>
        </w:rPr>
        <w:t xml:space="preserve">, les </w:t>
      </w:r>
      <w:r w:rsidR="001A5228" w:rsidRPr="001A5228">
        <w:rPr>
          <w:rFonts w:ascii="Times New Roman" w:hAnsi="Times New Roman" w:cs="Times New Roman"/>
          <w:sz w:val="28"/>
          <w:szCs w:val="28"/>
        </w:rPr>
        <w:t xml:space="preserve">Evêques du Burkina Faso nous invitaient tous à gagner en maturité politique et citoyenne, en consolidant l’esprit de dialogue et de conciliation qui a toujours prévalu dans notre pays et qui nous a permis de relever de nombreux défis qui </w:t>
      </w:r>
      <w:r w:rsidR="00300C9C">
        <w:rPr>
          <w:rFonts w:ascii="Times New Roman" w:hAnsi="Times New Roman" w:cs="Times New Roman"/>
          <w:sz w:val="28"/>
          <w:szCs w:val="28"/>
        </w:rPr>
        <w:t>pouvaient sembler insurmontables</w:t>
      </w:r>
      <w:r w:rsidR="001A5228" w:rsidRPr="001A5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9B0" w:rsidRDefault="009201ED" w:rsidP="00917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28">
        <w:rPr>
          <w:rFonts w:ascii="Times New Roman" w:hAnsi="Times New Roman" w:cs="Times New Roman"/>
          <w:sz w:val="28"/>
          <w:szCs w:val="28"/>
        </w:rPr>
        <w:t xml:space="preserve">Malgré les incidents ci-dessus mentionnés, la mission d’observation de la Commission épiscopale Justice et Paix se satisfait du bon déroulement des opérations électorales du 22 novembre. Les incidents identifiés çà et là </w:t>
      </w:r>
      <w:r w:rsidR="00F470C6">
        <w:rPr>
          <w:rFonts w:ascii="Times New Roman" w:hAnsi="Times New Roman" w:cs="Times New Roman"/>
          <w:sz w:val="28"/>
          <w:szCs w:val="28"/>
        </w:rPr>
        <w:t xml:space="preserve">qui </w:t>
      </w:r>
      <w:r w:rsidR="00E54CB2">
        <w:rPr>
          <w:rFonts w:ascii="Times New Roman" w:hAnsi="Times New Roman" w:cs="Times New Roman"/>
          <w:sz w:val="28"/>
          <w:szCs w:val="28"/>
        </w:rPr>
        <w:t>étaient</w:t>
      </w:r>
      <w:r w:rsidRPr="001A5228">
        <w:rPr>
          <w:rFonts w:ascii="Times New Roman" w:hAnsi="Times New Roman" w:cs="Times New Roman"/>
          <w:sz w:val="28"/>
          <w:szCs w:val="28"/>
        </w:rPr>
        <w:t xml:space="preserve"> pour la plupart</w:t>
      </w:r>
      <w:r w:rsidR="00E54CB2">
        <w:rPr>
          <w:rFonts w:ascii="Times New Roman" w:hAnsi="Times New Roman" w:cs="Times New Roman"/>
          <w:sz w:val="28"/>
          <w:szCs w:val="28"/>
        </w:rPr>
        <w:t xml:space="preserve"> </w:t>
      </w:r>
      <w:r w:rsidRPr="001A5228">
        <w:rPr>
          <w:rFonts w:ascii="Times New Roman" w:hAnsi="Times New Roman" w:cs="Times New Roman"/>
          <w:sz w:val="28"/>
          <w:szCs w:val="28"/>
        </w:rPr>
        <w:t>d’ordres organisationnel, technique et administratif, ont été traités et certains d’entre eux ont été maîtrisés. Ils ne sont donc pas de nature à entacher la crédibilité du scrutin du 22 novembre 2020. L’Eglise, à travers la Co</w:t>
      </w:r>
      <w:r w:rsidR="009203C2">
        <w:rPr>
          <w:rFonts w:ascii="Times New Roman" w:hAnsi="Times New Roman" w:cs="Times New Roman"/>
          <w:sz w:val="28"/>
          <w:szCs w:val="28"/>
        </w:rPr>
        <w:t>mmission épiscopale Justice et P</w:t>
      </w:r>
      <w:r w:rsidRPr="001A5228">
        <w:rPr>
          <w:rFonts w:ascii="Times New Roman" w:hAnsi="Times New Roman" w:cs="Times New Roman"/>
          <w:sz w:val="28"/>
          <w:szCs w:val="28"/>
        </w:rPr>
        <w:t xml:space="preserve">aix, félicite tous les acteurs qui ont pris part à ce scrutin : les leaders politiques qui ont fait preuve de modération, les citoyens qui ont fait preuve de discipline et de modération dans les propos ou comportements militants,  les forces de défenses </w:t>
      </w:r>
      <w:r w:rsidR="0002236B">
        <w:rPr>
          <w:rFonts w:ascii="Times New Roman" w:hAnsi="Times New Roman" w:cs="Times New Roman"/>
          <w:sz w:val="28"/>
          <w:szCs w:val="28"/>
        </w:rPr>
        <w:t xml:space="preserve">et de sécurité </w:t>
      </w:r>
      <w:r w:rsidRPr="001A5228">
        <w:rPr>
          <w:rFonts w:ascii="Times New Roman" w:hAnsi="Times New Roman" w:cs="Times New Roman"/>
          <w:sz w:val="28"/>
          <w:szCs w:val="28"/>
        </w:rPr>
        <w:t>qui n’ont ménagé aucun effort pour le bon déroulement du vote, les organisations de la société civile et tous les acteurs qui, dans l’ombre, ont travaillé d’arrache-pied pour que ces élections se déroulent normalement.</w:t>
      </w:r>
      <w:r w:rsidR="002A6D60">
        <w:rPr>
          <w:rFonts w:ascii="Times New Roman" w:hAnsi="Times New Roman" w:cs="Times New Roman"/>
          <w:sz w:val="28"/>
          <w:szCs w:val="28"/>
        </w:rPr>
        <w:t xml:space="preserve"> La Commission </w:t>
      </w:r>
      <w:r w:rsidR="00917181">
        <w:rPr>
          <w:rFonts w:ascii="Times New Roman" w:hAnsi="Times New Roman" w:cs="Times New Roman"/>
          <w:sz w:val="28"/>
          <w:szCs w:val="28"/>
        </w:rPr>
        <w:t xml:space="preserve">épiscopale </w:t>
      </w:r>
      <w:r w:rsidR="002A6D60">
        <w:rPr>
          <w:rFonts w:ascii="Times New Roman" w:hAnsi="Times New Roman" w:cs="Times New Roman"/>
          <w:sz w:val="28"/>
          <w:szCs w:val="28"/>
        </w:rPr>
        <w:t xml:space="preserve">Justice et Paix renouvelle sa gratitude à toutes les structures, institutions, personnes physiques et morales qui ont permis ou facilité la supervision des élections. Reconnaissance particulière </w:t>
      </w:r>
      <w:r w:rsidR="00917181">
        <w:rPr>
          <w:rFonts w:ascii="Times New Roman" w:hAnsi="Times New Roman" w:cs="Times New Roman"/>
          <w:sz w:val="28"/>
          <w:szCs w:val="28"/>
        </w:rPr>
        <w:t>aux observateurs</w:t>
      </w:r>
      <w:r w:rsidR="002A6D60">
        <w:rPr>
          <w:rFonts w:ascii="Times New Roman" w:hAnsi="Times New Roman" w:cs="Times New Roman"/>
          <w:sz w:val="28"/>
          <w:szCs w:val="28"/>
        </w:rPr>
        <w:t xml:space="preserve"> pour leur engagement et leur abnégation</w:t>
      </w:r>
      <w:r w:rsidR="00917181">
        <w:rPr>
          <w:rFonts w:ascii="Times New Roman" w:hAnsi="Times New Roman" w:cs="Times New Roman"/>
          <w:sz w:val="28"/>
          <w:szCs w:val="28"/>
        </w:rPr>
        <w:t>,</w:t>
      </w:r>
      <w:r w:rsidR="002A6D60">
        <w:rPr>
          <w:rFonts w:ascii="Times New Roman" w:hAnsi="Times New Roman" w:cs="Times New Roman"/>
          <w:sz w:val="28"/>
          <w:szCs w:val="28"/>
        </w:rPr>
        <w:t xml:space="preserve"> de même qu’à l’</w:t>
      </w:r>
      <w:r w:rsidR="002A6D60" w:rsidRPr="00A3347B">
        <w:rPr>
          <w:rFonts w:ascii="Times New Roman" w:hAnsi="Times New Roman" w:cs="Times New Roman"/>
          <w:sz w:val="28"/>
          <w:szCs w:val="28"/>
        </w:rPr>
        <w:t>OCADES</w:t>
      </w:r>
      <w:r w:rsidR="002A6D60">
        <w:rPr>
          <w:rFonts w:ascii="Times New Roman" w:hAnsi="Times New Roman" w:cs="Times New Roman"/>
          <w:sz w:val="28"/>
          <w:szCs w:val="28"/>
        </w:rPr>
        <w:t xml:space="preserve">-CARITAS BURKINA pour son appui de toujours et </w:t>
      </w:r>
      <w:r w:rsidR="00917181">
        <w:rPr>
          <w:rFonts w:ascii="Times New Roman" w:hAnsi="Times New Roman" w:cs="Times New Roman"/>
          <w:sz w:val="28"/>
          <w:szCs w:val="28"/>
        </w:rPr>
        <w:t xml:space="preserve"> pour </w:t>
      </w:r>
      <w:r w:rsidR="002A6D60">
        <w:rPr>
          <w:rFonts w:ascii="Times New Roman" w:hAnsi="Times New Roman" w:cs="Times New Roman"/>
          <w:sz w:val="28"/>
          <w:szCs w:val="28"/>
        </w:rPr>
        <w:t>son aide dans ce process</w:t>
      </w:r>
      <w:r w:rsidR="00917181">
        <w:rPr>
          <w:rFonts w:ascii="Times New Roman" w:hAnsi="Times New Roman" w:cs="Times New Roman"/>
          <w:sz w:val="28"/>
          <w:szCs w:val="28"/>
        </w:rPr>
        <w:t>us de supervision des élections couplées du 22 novembre 2020.</w:t>
      </w:r>
    </w:p>
    <w:p w:rsidR="00917181" w:rsidRDefault="00917181" w:rsidP="00A334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Que Dieu bénisse le Burkina Faso</w:t>
      </w:r>
    </w:p>
    <w:p w:rsidR="00715C93" w:rsidRPr="00A3347B" w:rsidRDefault="00715C93" w:rsidP="002A6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880" w:rsidRPr="00A3347B" w:rsidRDefault="00A3347B" w:rsidP="00A3347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3347B">
        <w:rPr>
          <w:rFonts w:ascii="Arial" w:hAnsi="Arial" w:cs="Arial"/>
          <w:b/>
          <w:sz w:val="24"/>
          <w:szCs w:val="24"/>
          <w:u w:val="single"/>
        </w:rPr>
        <w:t>R</w:t>
      </w:r>
      <w:r w:rsidR="00087880" w:rsidRPr="00A3347B">
        <w:rPr>
          <w:rFonts w:ascii="Arial" w:hAnsi="Arial" w:cs="Arial"/>
          <w:b/>
          <w:sz w:val="24"/>
          <w:szCs w:val="24"/>
          <w:u w:val="single"/>
        </w:rPr>
        <w:t>épartition des observateurs, dans les bureaux de votes selon les localités</w:t>
      </w:r>
    </w:p>
    <w:tbl>
      <w:tblPr>
        <w:tblStyle w:val="Grilledutableau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1967"/>
        <w:gridCol w:w="1158"/>
        <w:gridCol w:w="1701"/>
        <w:gridCol w:w="4825"/>
      </w:tblGrid>
      <w:tr w:rsidR="00087880" w:rsidRPr="009D51AE" w:rsidTr="000B6489">
        <w:trPr>
          <w:trHeight w:val="515"/>
          <w:jc w:val="center"/>
        </w:trPr>
        <w:tc>
          <w:tcPr>
            <w:tcW w:w="556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51AE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1967" w:type="dxa"/>
            <w:vAlign w:val="center"/>
          </w:tcPr>
          <w:p w:rsidR="00087880" w:rsidRPr="009D51AE" w:rsidRDefault="00087880" w:rsidP="000B64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1AE">
              <w:rPr>
                <w:rFonts w:ascii="Arial" w:hAnsi="Arial" w:cs="Arial"/>
                <w:b/>
                <w:sz w:val="24"/>
                <w:szCs w:val="24"/>
              </w:rPr>
              <w:t>Diocèse</w:t>
            </w:r>
          </w:p>
        </w:tc>
        <w:tc>
          <w:tcPr>
            <w:tcW w:w="1158" w:type="dxa"/>
          </w:tcPr>
          <w:p w:rsidR="00087880" w:rsidRPr="009D51AE" w:rsidRDefault="00087880" w:rsidP="000B64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1AE">
              <w:rPr>
                <w:rFonts w:ascii="Arial" w:hAnsi="Arial" w:cs="Arial"/>
                <w:b/>
                <w:sz w:val="24"/>
                <w:szCs w:val="24"/>
              </w:rPr>
              <w:t>Nombre d’observateurs</w:t>
            </w:r>
          </w:p>
        </w:tc>
        <w:tc>
          <w:tcPr>
            <w:tcW w:w="1701" w:type="dxa"/>
          </w:tcPr>
          <w:p w:rsidR="00087880" w:rsidRPr="009D51AE" w:rsidRDefault="00087880" w:rsidP="000B64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1AE">
              <w:rPr>
                <w:rFonts w:ascii="Arial" w:hAnsi="Arial" w:cs="Arial"/>
                <w:b/>
                <w:sz w:val="24"/>
                <w:szCs w:val="24"/>
              </w:rPr>
              <w:t>Nombre de bureaux de vote</w:t>
            </w:r>
          </w:p>
        </w:tc>
        <w:tc>
          <w:tcPr>
            <w:tcW w:w="4825" w:type="dxa"/>
            <w:vAlign w:val="center"/>
          </w:tcPr>
          <w:p w:rsidR="00087880" w:rsidRPr="009D51AE" w:rsidRDefault="00087880" w:rsidP="000B64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1AE">
              <w:rPr>
                <w:rFonts w:ascii="Arial" w:hAnsi="Arial" w:cs="Arial"/>
                <w:b/>
                <w:sz w:val="24"/>
                <w:szCs w:val="24"/>
              </w:rPr>
              <w:t>Zones/localités</w:t>
            </w:r>
          </w:p>
        </w:tc>
      </w:tr>
      <w:tr w:rsidR="00087880" w:rsidRPr="009D51AE" w:rsidTr="000B6489">
        <w:trPr>
          <w:trHeight w:val="464"/>
          <w:jc w:val="center"/>
        </w:trPr>
        <w:tc>
          <w:tcPr>
            <w:tcW w:w="556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Ouagadougou</w:t>
            </w:r>
          </w:p>
        </w:tc>
        <w:tc>
          <w:tcPr>
            <w:tcW w:w="1158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825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 xml:space="preserve">Ouagadougou,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Ziniaré</w:t>
            </w:r>
            <w:proofErr w:type="gramStart"/>
            <w:r w:rsidRPr="009D51AE">
              <w:rPr>
                <w:rFonts w:ascii="Arial" w:hAnsi="Arial" w:cs="Arial"/>
                <w:sz w:val="24"/>
                <w:szCs w:val="24"/>
              </w:rPr>
              <w:t>,Tanghin</w:t>
            </w:r>
            <w:proofErr w:type="spellEnd"/>
            <w:proofErr w:type="gramEnd"/>
            <w:r w:rsidRPr="009D51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Dassouri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Koubri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Kombissiri</w:t>
            </w:r>
            <w:proofErr w:type="spellEnd"/>
          </w:p>
        </w:tc>
      </w:tr>
      <w:tr w:rsidR="00087880" w:rsidRPr="009D51AE" w:rsidTr="000B6489">
        <w:trPr>
          <w:jc w:val="center"/>
        </w:trPr>
        <w:tc>
          <w:tcPr>
            <w:tcW w:w="556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Koudougou</w:t>
            </w:r>
          </w:p>
        </w:tc>
        <w:tc>
          <w:tcPr>
            <w:tcW w:w="1158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825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 xml:space="preserve">Localités des provinces du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Sanguié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du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Boulkiemdé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de la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Sissili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 et du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Ziro</w:t>
            </w:r>
            <w:proofErr w:type="spellEnd"/>
          </w:p>
        </w:tc>
      </w:tr>
      <w:tr w:rsidR="00087880" w:rsidRPr="009D51AE" w:rsidTr="000B6489">
        <w:trPr>
          <w:jc w:val="center"/>
        </w:trPr>
        <w:tc>
          <w:tcPr>
            <w:tcW w:w="556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7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Kaya</w:t>
            </w:r>
          </w:p>
        </w:tc>
        <w:tc>
          <w:tcPr>
            <w:tcW w:w="1158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5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D51AE">
              <w:rPr>
                <w:rFonts w:ascii="Arial" w:hAnsi="Arial" w:cs="Arial"/>
                <w:sz w:val="24"/>
                <w:szCs w:val="24"/>
              </w:rPr>
              <w:t>Boussouma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D51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Korssimoro</w:t>
            </w:r>
            <w:proofErr w:type="spellEnd"/>
          </w:p>
        </w:tc>
      </w:tr>
      <w:tr w:rsidR="00087880" w:rsidRPr="009D51AE" w:rsidTr="000B6489">
        <w:trPr>
          <w:jc w:val="center"/>
        </w:trPr>
        <w:tc>
          <w:tcPr>
            <w:tcW w:w="556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7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Ouahigouya</w:t>
            </w:r>
          </w:p>
        </w:tc>
        <w:tc>
          <w:tcPr>
            <w:tcW w:w="1158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825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 xml:space="preserve">Ouahigouya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Thiou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Boussou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 Gourcy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Titao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Tikaré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Séguénéga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Bourzanga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Rollo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Kongoussi</w:t>
            </w:r>
            <w:proofErr w:type="spellEnd"/>
            <w:r w:rsidR="001C3A72">
              <w:rPr>
                <w:rFonts w:ascii="Arial" w:hAnsi="Arial" w:cs="Arial"/>
                <w:sz w:val="24"/>
                <w:szCs w:val="24"/>
              </w:rPr>
              <w:t>,</w:t>
            </w:r>
            <w:r w:rsidRPr="009D51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Rouko</w:t>
            </w:r>
            <w:proofErr w:type="spellEnd"/>
            <w:r w:rsidR="001C3A72">
              <w:rPr>
                <w:rFonts w:ascii="Arial" w:hAnsi="Arial" w:cs="Arial"/>
                <w:sz w:val="24"/>
                <w:szCs w:val="24"/>
              </w:rPr>
              <w:t>,</w:t>
            </w:r>
            <w:r w:rsidRPr="009D51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Sabcè</w:t>
            </w:r>
            <w:proofErr w:type="spellEnd"/>
            <w:r w:rsidR="001C3A72">
              <w:rPr>
                <w:rFonts w:ascii="Arial" w:hAnsi="Arial" w:cs="Arial"/>
                <w:sz w:val="24"/>
                <w:szCs w:val="24"/>
              </w:rPr>
              <w:t>,</w:t>
            </w:r>
            <w:r w:rsidRPr="009D51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Baam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7880" w:rsidRPr="009D51AE" w:rsidTr="000B6489">
        <w:trPr>
          <w:jc w:val="center"/>
        </w:trPr>
        <w:tc>
          <w:tcPr>
            <w:tcW w:w="556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7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Manga</w:t>
            </w:r>
          </w:p>
        </w:tc>
        <w:tc>
          <w:tcPr>
            <w:tcW w:w="1158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5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51AE">
              <w:rPr>
                <w:rFonts w:ascii="Arial" w:hAnsi="Arial" w:cs="Arial"/>
                <w:sz w:val="24"/>
                <w:szCs w:val="24"/>
              </w:rPr>
              <w:t>Manga ,</w:t>
            </w:r>
            <w:proofErr w:type="gramEnd"/>
            <w:r w:rsidRPr="009D51AE">
              <w:rPr>
                <w:rFonts w:ascii="Arial" w:hAnsi="Arial" w:cs="Arial"/>
                <w:sz w:val="24"/>
                <w:szCs w:val="24"/>
              </w:rPr>
              <w:t xml:space="preserve"> Pô</w:t>
            </w:r>
          </w:p>
        </w:tc>
      </w:tr>
      <w:tr w:rsidR="00087880" w:rsidRPr="009D51AE" w:rsidTr="000B6489">
        <w:trPr>
          <w:jc w:val="center"/>
        </w:trPr>
        <w:tc>
          <w:tcPr>
            <w:tcW w:w="556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67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Bobo-Dioulasso</w:t>
            </w:r>
          </w:p>
        </w:tc>
        <w:tc>
          <w:tcPr>
            <w:tcW w:w="1158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5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 xml:space="preserve">Ville de Bobo, </w:t>
            </w:r>
            <w:r w:rsidR="001C3A72">
              <w:rPr>
                <w:rFonts w:ascii="Arial" w:hAnsi="Arial" w:cs="Arial"/>
                <w:sz w:val="24"/>
                <w:szCs w:val="24"/>
              </w:rPr>
              <w:t>V</w:t>
            </w:r>
            <w:r w:rsidRPr="009D51AE">
              <w:rPr>
                <w:rFonts w:ascii="Arial" w:hAnsi="Arial" w:cs="Arial"/>
                <w:sz w:val="24"/>
                <w:szCs w:val="24"/>
              </w:rPr>
              <w:t xml:space="preserve">illage de </w:t>
            </w:r>
            <w:proofErr w:type="gramStart"/>
            <w:r w:rsidRPr="009D51AE">
              <w:rPr>
                <w:rFonts w:ascii="Arial" w:hAnsi="Arial" w:cs="Arial"/>
                <w:sz w:val="24"/>
                <w:szCs w:val="24"/>
              </w:rPr>
              <w:t>Koro ,Commune</w:t>
            </w:r>
            <w:proofErr w:type="gramEnd"/>
            <w:r w:rsidRPr="009D51A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Karangasso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Sambla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Commune de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Bama</w:t>
            </w:r>
            <w:proofErr w:type="spellEnd"/>
          </w:p>
        </w:tc>
      </w:tr>
      <w:tr w:rsidR="00087880" w:rsidRPr="009D51AE" w:rsidTr="000B6489">
        <w:trPr>
          <w:jc w:val="center"/>
        </w:trPr>
        <w:tc>
          <w:tcPr>
            <w:tcW w:w="556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67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Banfora</w:t>
            </w:r>
          </w:p>
        </w:tc>
        <w:tc>
          <w:tcPr>
            <w:tcW w:w="1158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25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 xml:space="preserve">Commune de Banfora,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Sindou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Konadougou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Serabougou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Bérégadougou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Mangodara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Sidéradougou</w:t>
            </w:r>
            <w:proofErr w:type="spellEnd"/>
          </w:p>
        </w:tc>
      </w:tr>
      <w:tr w:rsidR="00087880" w:rsidRPr="009D51AE" w:rsidTr="000B6489">
        <w:trPr>
          <w:jc w:val="center"/>
        </w:trPr>
        <w:tc>
          <w:tcPr>
            <w:tcW w:w="556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67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Diébougou</w:t>
            </w:r>
            <w:proofErr w:type="spellEnd"/>
          </w:p>
        </w:tc>
        <w:tc>
          <w:tcPr>
            <w:tcW w:w="1158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825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Fafo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Diébougou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Tovouor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Iolonioro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Dissin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Bozo,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Nyigbo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Phariyago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Liguè-Tâw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Libiélé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Dano,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Bouni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Poulèba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Memèr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Ouessa</w:t>
            </w:r>
            <w:proofErr w:type="spellEnd"/>
          </w:p>
        </w:tc>
      </w:tr>
      <w:tr w:rsidR="00087880" w:rsidRPr="009D51AE" w:rsidTr="000B6489">
        <w:trPr>
          <w:jc w:val="center"/>
        </w:trPr>
        <w:tc>
          <w:tcPr>
            <w:tcW w:w="556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67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Nouna</w:t>
            </w:r>
            <w:proofErr w:type="spellEnd"/>
          </w:p>
        </w:tc>
        <w:tc>
          <w:tcPr>
            <w:tcW w:w="1158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 xml:space="preserve">province des </w:t>
            </w:r>
            <w:proofErr w:type="spellStart"/>
            <w:proofErr w:type="gramStart"/>
            <w:r w:rsidRPr="009D51AE">
              <w:rPr>
                <w:rFonts w:ascii="Arial" w:hAnsi="Arial" w:cs="Arial"/>
                <w:sz w:val="24"/>
                <w:szCs w:val="24"/>
              </w:rPr>
              <w:t>Banwa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D51AE">
              <w:rPr>
                <w:rFonts w:ascii="Arial" w:hAnsi="Arial" w:cs="Arial"/>
                <w:sz w:val="24"/>
                <w:szCs w:val="24"/>
              </w:rPr>
              <w:t xml:space="preserve"> province du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Kossi</w:t>
            </w:r>
            <w:proofErr w:type="spellEnd"/>
          </w:p>
        </w:tc>
      </w:tr>
      <w:tr w:rsidR="00087880" w:rsidRPr="009D51AE" w:rsidTr="000B6489">
        <w:trPr>
          <w:jc w:val="center"/>
        </w:trPr>
        <w:tc>
          <w:tcPr>
            <w:tcW w:w="556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67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Dédougou</w:t>
            </w:r>
          </w:p>
        </w:tc>
        <w:tc>
          <w:tcPr>
            <w:tcW w:w="1158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825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 xml:space="preserve">Localités des provinces du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Sourou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du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Mouhoun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des Ballé, et du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Tuy</w:t>
            </w:r>
            <w:proofErr w:type="spellEnd"/>
          </w:p>
        </w:tc>
      </w:tr>
      <w:tr w:rsidR="00087880" w:rsidRPr="009D51AE" w:rsidTr="000B6489">
        <w:trPr>
          <w:jc w:val="center"/>
        </w:trPr>
        <w:tc>
          <w:tcPr>
            <w:tcW w:w="556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67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Gaoua</w:t>
            </w:r>
            <w:proofErr w:type="spellEnd"/>
          </w:p>
        </w:tc>
        <w:tc>
          <w:tcPr>
            <w:tcW w:w="1158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25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Gaoua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Batié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Loropeni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Dipeo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kampti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Nako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Legmoin</w:t>
            </w:r>
            <w:proofErr w:type="spellEnd"/>
          </w:p>
        </w:tc>
      </w:tr>
      <w:tr w:rsidR="00087880" w:rsidRPr="009D51AE" w:rsidTr="000B6489">
        <w:trPr>
          <w:jc w:val="center"/>
        </w:trPr>
        <w:tc>
          <w:tcPr>
            <w:tcW w:w="556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67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Fada N’Gourma</w:t>
            </w:r>
          </w:p>
        </w:tc>
        <w:tc>
          <w:tcPr>
            <w:tcW w:w="1158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825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 xml:space="preserve">Fada,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Bogandé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Diapaga, Kantchari,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Diabo</w:t>
            </w:r>
            <w:proofErr w:type="spellEnd"/>
          </w:p>
        </w:tc>
      </w:tr>
      <w:tr w:rsidR="00087880" w:rsidRPr="009D51AE" w:rsidTr="000B6489">
        <w:trPr>
          <w:jc w:val="center"/>
        </w:trPr>
        <w:tc>
          <w:tcPr>
            <w:tcW w:w="556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67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Koupéla</w:t>
            </w:r>
            <w:proofErr w:type="spellEnd"/>
          </w:p>
        </w:tc>
        <w:tc>
          <w:tcPr>
            <w:tcW w:w="1158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25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Pouytenga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Gounghin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Koupéla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Baskouré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Ligdimagem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Dialgaye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Zorgho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Mogtedo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7880" w:rsidRPr="009D51AE" w:rsidTr="000B6489">
        <w:trPr>
          <w:jc w:val="center"/>
        </w:trPr>
        <w:tc>
          <w:tcPr>
            <w:tcW w:w="556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67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Tenkodogo</w:t>
            </w:r>
          </w:p>
        </w:tc>
        <w:tc>
          <w:tcPr>
            <w:tcW w:w="1158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51A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825" w:type="dxa"/>
            <w:vAlign w:val="center"/>
          </w:tcPr>
          <w:p w:rsidR="00087880" w:rsidRPr="009D51AE" w:rsidRDefault="00087880" w:rsidP="000B6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Garango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Ouargaye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Bittou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Bagré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Sasma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Moaga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Boussouma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Tenkodogo,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Cinkansé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Salembaoré</w:t>
            </w:r>
            <w:proofErr w:type="spellEnd"/>
            <w:r w:rsidRPr="009D51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1AE">
              <w:rPr>
                <w:rFonts w:ascii="Arial" w:hAnsi="Arial" w:cs="Arial"/>
                <w:sz w:val="24"/>
                <w:szCs w:val="24"/>
              </w:rPr>
              <w:t>Ouedgo</w:t>
            </w:r>
            <w:proofErr w:type="spellEnd"/>
          </w:p>
        </w:tc>
      </w:tr>
      <w:tr w:rsidR="00087880" w:rsidRPr="009D51AE" w:rsidTr="000B6489">
        <w:trPr>
          <w:trHeight w:val="583"/>
          <w:jc w:val="center"/>
        </w:trPr>
        <w:tc>
          <w:tcPr>
            <w:tcW w:w="2523" w:type="dxa"/>
            <w:gridSpan w:val="2"/>
            <w:shd w:val="clear" w:color="auto" w:fill="C5E0B3" w:themeFill="accent6" w:themeFillTint="66"/>
            <w:vAlign w:val="center"/>
          </w:tcPr>
          <w:p w:rsidR="00087880" w:rsidRPr="00E64A88" w:rsidRDefault="00087880" w:rsidP="000B64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A8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58" w:type="dxa"/>
            <w:shd w:val="clear" w:color="auto" w:fill="C5E0B3" w:themeFill="accent6" w:themeFillTint="66"/>
            <w:vAlign w:val="center"/>
          </w:tcPr>
          <w:p w:rsidR="00087880" w:rsidRPr="00E64A88" w:rsidRDefault="00087880" w:rsidP="000B64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A88">
              <w:rPr>
                <w:rFonts w:ascii="Arial" w:hAnsi="Arial" w:cs="Arial"/>
                <w:b/>
                <w:sz w:val="24"/>
                <w:szCs w:val="24"/>
              </w:rPr>
              <w:t>402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087880" w:rsidRPr="00E64A88" w:rsidRDefault="00087880" w:rsidP="000B64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A88">
              <w:rPr>
                <w:rFonts w:ascii="Arial" w:hAnsi="Arial" w:cs="Arial"/>
                <w:b/>
                <w:sz w:val="24"/>
                <w:szCs w:val="24"/>
              </w:rPr>
              <w:t>496</w:t>
            </w:r>
          </w:p>
        </w:tc>
        <w:tc>
          <w:tcPr>
            <w:tcW w:w="4825" w:type="dxa"/>
            <w:shd w:val="clear" w:color="auto" w:fill="C5E0B3" w:themeFill="accent6" w:themeFillTint="66"/>
            <w:vAlign w:val="center"/>
          </w:tcPr>
          <w:p w:rsidR="00087880" w:rsidRPr="009D51AE" w:rsidRDefault="00087880" w:rsidP="000B64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D60" w:rsidRPr="00EB3341" w:rsidRDefault="002A6D60" w:rsidP="00A3347B">
      <w:pPr>
        <w:tabs>
          <w:tab w:val="left" w:pos="3310"/>
        </w:tabs>
        <w:jc w:val="center"/>
        <w:rPr>
          <w:rFonts w:ascii="Arial" w:hAnsi="Arial" w:cs="Arial"/>
          <w:b/>
          <w:i/>
          <w:sz w:val="2"/>
          <w:szCs w:val="2"/>
        </w:rPr>
      </w:pPr>
    </w:p>
    <w:p w:rsidR="00917181" w:rsidRDefault="00917181" w:rsidP="00EB3341">
      <w:pPr>
        <w:ind w:left="4111" w:firstLine="142"/>
        <w:rPr>
          <w:rFonts w:ascii="Georgia" w:hAnsi="Georgia"/>
          <w:b/>
          <w:sz w:val="28"/>
          <w:szCs w:val="28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Georgia" w:hAnsi="Georgia"/>
          <w:b/>
          <w:sz w:val="28"/>
          <w:szCs w:val="28"/>
        </w:rPr>
        <w:t>Le</w:t>
      </w:r>
      <w:r w:rsidRPr="00423E7F">
        <w:rPr>
          <w:rFonts w:ascii="Georgia" w:hAnsi="Georgia"/>
          <w:b/>
          <w:sz w:val="28"/>
          <w:szCs w:val="28"/>
        </w:rPr>
        <w:t xml:space="preserve"> Secrétaire </w:t>
      </w:r>
      <w:r>
        <w:rPr>
          <w:rFonts w:ascii="Georgia" w:hAnsi="Georgia"/>
          <w:b/>
          <w:sz w:val="28"/>
          <w:szCs w:val="28"/>
        </w:rPr>
        <w:t>Général</w:t>
      </w:r>
      <w:r w:rsidRPr="00423E7F">
        <w:rPr>
          <w:rFonts w:ascii="Georgia" w:hAnsi="Georgia"/>
          <w:b/>
          <w:sz w:val="28"/>
          <w:szCs w:val="28"/>
        </w:rPr>
        <w:t>,</w:t>
      </w:r>
    </w:p>
    <w:p w:rsidR="00EB3341" w:rsidRDefault="00EB3341" w:rsidP="00EB3341">
      <w:pPr>
        <w:ind w:left="4111" w:firstLine="142"/>
        <w:rPr>
          <w:rFonts w:ascii="Georgia" w:hAnsi="Georgia"/>
          <w:b/>
          <w:sz w:val="28"/>
          <w:szCs w:val="28"/>
        </w:rPr>
      </w:pPr>
    </w:p>
    <w:p w:rsidR="00917181" w:rsidRPr="003C003B" w:rsidRDefault="00917181" w:rsidP="00917181">
      <w:pPr>
        <w:ind w:left="4814" w:firstLine="142"/>
        <w:jc w:val="both"/>
      </w:pPr>
      <w:r w:rsidRPr="00423E7F">
        <w:rPr>
          <w:rFonts w:ascii="Georgia" w:hAnsi="Georgia"/>
          <w:i/>
          <w:sz w:val="28"/>
          <w:szCs w:val="28"/>
          <w:u w:val="single"/>
        </w:rPr>
        <w:t xml:space="preserve">Abbé </w:t>
      </w:r>
      <w:r>
        <w:rPr>
          <w:rFonts w:ascii="Georgia" w:hAnsi="Georgia"/>
          <w:i/>
          <w:sz w:val="28"/>
          <w:szCs w:val="28"/>
          <w:u w:val="single"/>
        </w:rPr>
        <w:t>OUEDRAOGO O. Hermann</w:t>
      </w:r>
    </w:p>
    <w:sectPr w:rsidR="00917181" w:rsidRPr="003C003B" w:rsidSect="0062414B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8D" w:rsidRDefault="00ED278D" w:rsidP="00620280">
      <w:pPr>
        <w:spacing w:after="0" w:line="240" w:lineRule="auto"/>
      </w:pPr>
      <w:r>
        <w:separator/>
      </w:r>
    </w:p>
  </w:endnote>
  <w:endnote w:type="continuationSeparator" w:id="0">
    <w:p w:rsidR="00ED278D" w:rsidRDefault="00ED278D" w:rsidP="0062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8D" w:rsidRDefault="00ED278D" w:rsidP="00620280">
      <w:pPr>
        <w:spacing w:after="0" w:line="240" w:lineRule="auto"/>
      </w:pPr>
      <w:r>
        <w:separator/>
      </w:r>
    </w:p>
  </w:footnote>
  <w:footnote w:type="continuationSeparator" w:id="0">
    <w:p w:rsidR="00ED278D" w:rsidRDefault="00ED278D" w:rsidP="0062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261839"/>
      <w:docPartObj>
        <w:docPartGallery w:val="Page Numbers (Top of Page)"/>
        <w:docPartUnique/>
      </w:docPartObj>
    </w:sdtPr>
    <w:sdtEndPr/>
    <w:sdtContent>
      <w:p w:rsidR="00620280" w:rsidRDefault="00620280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254">
          <w:rPr>
            <w:noProof/>
          </w:rPr>
          <w:t>8</w:t>
        </w:r>
        <w:r>
          <w:fldChar w:fldCharType="end"/>
        </w:r>
      </w:p>
    </w:sdtContent>
  </w:sdt>
  <w:p w:rsidR="00620280" w:rsidRDefault="006202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6EEB"/>
    <w:multiLevelType w:val="hybridMultilevel"/>
    <w:tmpl w:val="E7122650"/>
    <w:lvl w:ilvl="0" w:tplc="10A255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B42CA"/>
    <w:multiLevelType w:val="hybridMultilevel"/>
    <w:tmpl w:val="8A88F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1A0D"/>
    <w:multiLevelType w:val="hybridMultilevel"/>
    <w:tmpl w:val="177428CA"/>
    <w:lvl w:ilvl="0" w:tplc="10A255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A3849"/>
    <w:multiLevelType w:val="hybridMultilevel"/>
    <w:tmpl w:val="233C2450"/>
    <w:lvl w:ilvl="0" w:tplc="10A255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214F67"/>
    <w:multiLevelType w:val="hybridMultilevel"/>
    <w:tmpl w:val="82A226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1439"/>
    <w:multiLevelType w:val="hybridMultilevel"/>
    <w:tmpl w:val="0F7C602C"/>
    <w:lvl w:ilvl="0" w:tplc="10A255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D5270"/>
    <w:multiLevelType w:val="hybridMultilevel"/>
    <w:tmpl w:val="CD98E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01E8D"/>
    <w:multiLevelType w:val="hybridMultilevel"/>
    <w:tmpl w:val="5CFA3840"/>
    <w:lvl w:ilvl="0" w:tplc="10A255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E527D"/>
    <w:multiLevelType w:val="hybridMultilevel"/>
    <w:tmpl w:val="2E32B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4225C"/>
    <w:multiLevelType w:val="hybridMultilevel"/>
    <w:tmpl w:val="DA269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F3D11"/>
    <w:multiLevelType w:val="hybridMultilevel"/>
    <w:tmpl w:val="896A4A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E290B"/>
    <w:multiLevelType w:val="hybridMultilevel"/>
    <w:tmpl w:val="B34E5C64"/>
    <w:lvl w:ilvl="0" w:tplc="34006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D20D6"/>
    <w:multiLevelType w:val="hybridMultilevel"/>
    <w:tmpl w:val="D98C7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D7087"/>
    <w:multiLevelType w:val="hybridMultilevel"/>
    <w:tmpl w:val="543624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F2B4E"/>
    <w:multiLevelType w:val="hybridMultilevel"/>
    <w:tmpl w:val="ABD6AD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D0689"/>
    <w:multiLevelType w:val="hybridMultilevel"/>
    <w:tmpl w:val="A642B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14CFE"/>
    <w:multiLevelType w:val="hybridMultilevel"/>
    <w:tmpl w:val="DEF27D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2E3B2B"/>
    <w:multiLevelType w:val="hybridMultilevel"/>
    <w:tmpl w:val="07244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F5C2D"/>
    <w:multiLevelType w:val="hybridMultilevel"/>
    <w:tmpl w:val="7E2A8EC4"/>
    <w:lvl w:ilvl="0" w:tplc="8FF64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944E4"/>
    <w:multiLevelType w:val="hybridMultilevel"/>
    <w:tmpl w:val="F000CA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C61D9"/>
    <w:multiLevelType w:val="hybridMultilevel"/>
    <w:tmpl w:val="897E3A96"/>
    <w:lvl w:ilvl="0" w:tplc="376C8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B4302"/>
    <w:multiLevelType w:val="hybridMultilevel"/>
    <w:tmpl w:val="E55690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B540EB"/>
    <w:multiLevelType w:val="hybridMultilevel"/>
    <w:tmpl w:val="81EE198A"/>
    <w:lvl w:ilvl="0" w:tplc="BEB01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836AA"/>
    <w:multiLevelType w:val="hybridMultilevel"/>
    <w:tmpl w:val="C6623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041F3"/>
    <w:multiLevelType w:val="hybridMultilevel"/>
    <w:tmpl w:val="C66CA95C"/>
    <w:lvl w:ilvl="0" w:tplc="F06885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D17DAF"/>
    <w:multiLevelType w:val="hybridMultilevel"/>
    <w:tmpl w:val="080C02C2"/>
    <w:lvl w:ilvl="0" w:tplc="10A255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64610"/>
    <w:multiLevelType w:val="hybridMultilevel"/>
    <w:tmpl w:val="DB2CB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B1712"/>
    <w:multiLevelType w:val="hybridMultilevel"/>
    <w:tmpl w:val="DEF4C9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25EFC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04BC6"/>
    <w:multiLevelType w:val="hybridMultilevel"/>
    <w:tmpl w:val="1B4A31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D363F"/>
    <w:multiLevelType w:val="hybridMultilevel"/>
    <w:tmpl w:val="854892CE"/>
    <w:lvl w:ilvl="0" w:tplc="10A255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4744B"/>
    <w:multiLevelType w:val="hybridMultilevel"/>
    <w:tmpl w:val="3A3463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C2C58"/>
    <w:multiLevelType w:val="hybridMultilevel"/>
    <w:tmpl w:val="3894EAB6"/>
    <w:lvl w:ilvl="0" w:tplc="10A255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40B2F"/>
    <w:multiLevelType w:val="hybridMultilevel"/>
    <w:tmpl w:val="47FA9082"/>
    <w:lvl w:ilvl="0" w:tplc="10A255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70794"/>
    <w:multiLevelType w:val="hybridMultilevel"/>
    <w:tmpl w:val="B9DE2B22"/>
    <w:lvl w:ilvl="0" w:tplc="F068855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4E0879"/>
    <w:multiLevelType w:val="hybridMultilevel"/>
    <w:tmpl w:val="6622A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25C1F"/>
    <w:multiLevelType w:val="hybridMultilevel"/>
    <w:tmpl w:val="B54CB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3594E"/>
    <w:multiLevelType w:val="hybridMultilevel"/>
    <w:tmpl w:val="8110D610"/>
    <w:lvl w:ilvl="0" w:tplc="10A255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0566EB"/>
    <w:multiLevelType w:val="hybridMultilevel"/>
    <w:tmpl w:val="18F83B9A"/>
    <w:lvl w:ilvl="0" w:tplc="10A255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951D3"/>
    <w:multiLevelType w:val="hybridMultilevel"/>
    <w:tmpl w:val="154A3BD4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A0C6FE9"/>
    <w:multiLevelType w:val="hybridMultilevel"/>
    <w:tmpl w:val="3ED00BC0"/>
    <w:lvl w:ilvl="0" w:tplc="10A255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670F7"/>
    <w:multiLevelType w:val="hybridMultilevel"/>
    <w:tmpl w:val="E482FD4E"/>
    <w:lvl w:ilvl="0" w:tplc="10A255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8398E"/>
    <w:multiLevelType w:val="hybridMultilevel"/>
    <w:tmpl w:val="6D12B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20"/>
  </w:num>
  <w:num w:numId="5">
    <w:abstractNumId w:val="32"/>
  </w:num>
  <w:num w:numId="6">
    <w:abstractNumId w:val="7"/>
  </w:num>
  <w:num w:numId="7">
    <w:abstractNumId w:val="3"/>
  </w:num>
  <w:num w:numId="8">
    <w:abstractNumId w:val="5"/>
  </w:num>
  <w:num w:numId="9">
    <w:abstractNumId w:val="26"/>
  </w:num>
  <w:num w:numId="10">
    <w:abstractNumId w:val="27"/>
  </w:num>
  <w:num w:numId="11">
    <w:abstractNumId w:val="6"/>
  </w:num>
  <w:num w:numId="12">
    <w:abstractNumId w:val="29"/>
  </w:num>
  <w:num w:numId="13">
    <w:abstractNumId w:val="40"/>
  </w:num>
  <w:num w:numId="14">
    <w:abstractNumId w:val="39"/>
  </w:num>
  <w:num w:numId="15">
    <w:abstractNumId w:val="25"/>
  </w:num>
  <w:num w:numId="16">
    <w:abstractNumId w:val="0"/>
  </w:num>
  <w:num w:numId="17">
    <w:abstractNumId w:val="36"/>
  </w:num>
  <w:num w:numId="18">
    <w:abstractNumId w:val="35"/>
  </w:num>
  <w:num w:numId="19">
    <w:abstractNumId w:val="4"/>
  </w:num>
  <w:num w:numId="20">
    <w:abstractNumId w:val="41"/>
  </w:num>
  <w:num w:numId="21">
    <w:abstractNumId w:val="22"/>
  </w:num>
  <w:num w:numId="22">
    <w:abstractNumId w:val="37"/>
  </w:num>
  <w:num w:numId="23">
    <w:abstractNumId w:val="31"/>
  </w:num>
  <w:num w:numId="24">
    <w:abstractNumId w:val="2"/>
  </w:num>
  <w:num w:numId="25">
    <w:abstractNumId w:val="13"/>
  </w:num>
  <w:num w:numId="26">
    <w:abstractNumId w:val="23"/>
  </w:num>
  <w:num w:numId="27">
    <w:abstractNumId w:val="28"/>
  </w:num>
  <w:num w:numId="28">
    <w:abstractNumId w:val="21"/>
  </w:num>
  <w:num w:numId="29">
    <w:abstractNumId w:val="16"/>
  </w:num>
  <w:num w:numId="30">
    <w:abstractNumId w:val="18"/>
  </w:num>
  <w:num w:numId="31">
    <w:abstractNumId w:val="9"/>
  </w:num>
  <w:num w:numId="32">
    <w:abstractNumId w:val="38"/>
  </w:num>
  <w:num w:numId="33">
    <w:abstractNumId w:val="12"/>
  </w:num>
  <w:num w:numId="34">
    <w:abstractNumId w:val="15"/>
  </w:num>
  <w:num w:numId="35">
    <w:abstractNumId w:val="11"/>
  </w:num>
  <w:num w:numId="36">
    <w:abstractNumId w:val="10"/>
  </w:num>
  <w:num w:numId="37">
    <w:abstractNumId w:val="30"/>
  </w:num>
  <w:num w:numId="38">
    <w:abstractNumId w:val="14"/>
  </w:num>
  <w:num w:numId="39">
    <w:abstractNumId w:val="17"/>
  </w:num>
  <w:num w:numId="40">
    <w:abstractNumId w:val="34"/>
  </w:num>
  <w:num w:numId="41">
    <w:abstractNumId w:val="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82"/>
    <w:rsid w:val="0002236B"/>
    <w:rsid w:val="000827CB"/>
    <w:rsid w:val="00085A30"/>
    <w:rsid w:val="00087880"/>
    <w:rsid w:val="00087FAC"/>
    <w:rsid w:val="00090A51"/>
    <w:rsid w:val="000B2FC2"/>
    <w:rsid w:val="000F3AEF"/>
    <w:rsid w:val="001116E6"/>
    <w:rsid w:val="001362FC"/>
    <w:rsid w:val="00160A61"/>
    <w:rsid w:val="001820A7"/>
    <w:rsid w:val="001A5228"/>
    <w:rsid w:val="001B0211"/>
    <w:rsid w:val="001C3A72"/>
    <w:rsid w:val="001E317D"/>
    <w:rsid w:val="001E4BE2"/>
    <w:rsid w:val="001F3B18"/>
    <w:rsid w:val="00204C16"/>
    <w:rsid w:val="0023674A"/>
    <w:rsid w:val="002619C3"/>
    <w:rsid w:val="002A6D60"/>
    <w:rsid w:val="002B23F0"/>
    <w:rsid w:val="002C2352"/>
    <w:rsid w:val="002D512D"/>
    <w:rsid w:val="00300C9C"/>
    <w:rsid w:val="003278D7"/>
    <w:rsid w:val="00365AD6"/>
    <w:rsid w:val="00382C28"/>
    <w:rsid w:val="0038609B"/>
    <w:rsid w:val="00390F07"/>
    <w:rsid w:val="003B3EAD"/>
    <w:rsid w:val="003C7254"/>
    <w:rsid w:val="004029E5"/>
    <w:rsid w:val="00417996"/>
    <w:rsid w:val="004A1A39"/>
    <w:rsid w:val="004E3E7E"/>
    <w:rsid w:val="00502E94"/>
    <w:rsid w:val="00522492"/>
    <w:rsid w:val="00537A5B"/>
    <w:rsid w:val="00570E49"/>
    <w:rsid w:val="00587C22"/>
    <w:rsid w:val="005B7DB7"/>
    <w:rsid w:val="00620280"/>
    <w:rsid w:val="0062414B"/>
    <w:rsid w:val="006471AF"/>
    <w:rsid w:val="006742DA"/>
    <w:rsid w:val="00676592"/>
    <w:rsid w:val="00680948"/>
    <w:rsid w:val="006863C4"/>
    <w:rsid w:val="006A0FF3"/>
    <w:rsid w:val="006A21AC"/>
    <w:rsid w:val="006B63EC"/>
    <w:rsid w:val="006D68E8"/>
    <w:rsid w:val="00715C93"/>
    <w:rsid w:val="00721A5C"/>
    <w:rsid w:val="007329B0"/>
    <w:rsid w:val="007607B4"/>
    <w:rsid w:val="0076786B"/>
    <w:rsid w:val="00783523"/>
    <w:rsid w:val="0079379E"/>
    <w:rsid w:val="007B3ED0"/>
    <w:rsid w:val="007B7211"/>
    <w:rsid w:val="007F22BD"/>
    <w:rsid w:val="00817598"/>
    <w:rsid w:val="00884F2B"/>
    <w:rsid w:val="00885B8B"/>
    <w:rsid w:val="008B673B"/>
    <w:rsid w:val="008D2EFD"/>
    <w:rsid w:val="008D72FB"/>
    <w:rsid w:val="008E2FE9"/>
    <w:rsid w:val="00917181"/>
    <w:rsid w:val="009201ED"/>
    <w:rsid w:val="009203C2"/>
    <w:rsid w:val="00930C1E"/>
    <w:rsid w:val="00970514"/>
    <w:rsid w:val="0098288D"/>
    <w:rsid w:val="009B2847"/>
    <w:rsid w:val="009D51AE"/>
    <w:rsid w:val="009F5A62"/>
    <w:rsid w:val="00A12901"/>
    <w:rsid w:val="00A3347B"/>
    <w:rsid w:val="00A45089"/>
    <w:rsid w:val="00A47D16"/>
    <w:rsid w:val="00A5534C"/>
    <w:rsid w:val="00AE665F"/>
    <w:rsid w:val="00B13B2F"/>
    <w:rsid w:val="00B235DE"/>
    <w:rsid w:val="00B3406F"/>
    <w:rsid w:val="00B62B89"/>
    <w:rsid w:val="00B62F82"/>
    <w:rsid w:val="00BB6488"/>
    <w:rsid w:val="00BC1E60"/>
    <w:rsid w:val="00BD2414"/>
    <w:rsid w:val="00BE0B1B"/>
    <w:rsid w:val="00C13AC8"/>
    <w:rsid w:val="00C23248"/>
    <w:rsid w:val="00C333C2"/>
    <w:rsid w:val="00CB2982"/>
    <w:rsid w:val="00CD50E5"/>
    <w:rsid w:val="00CE071B"/>
    <w:rsid w:val="00CF20EC"/>
    <w:rsid w:val="00D244A7"/>
    <w:rsid w:val="00D306DF"/>
    <w:rsid w:val="00D30880"/>
    <w:rsid w:val="00D72A2F"/>
    <w:rsid w:val="00D73641"/>
    <w:rsid w:val="00DA1E7E"/>
    <w:rsid w:val="00DA59CF"/>
    <w:rsid w:val="00DC0241"/>
    <w:rsid w:val="00DC2E75"/>
    <w:rsid w:val="00DC6FA9"/>
    <w:rsid w:val="00DD5568"/>
    <w:rsid w:val="00DF43B4"/>
    <w:rsid w:val="00DF7E1D"/>
    <w:rsid w:val="00E35F4A"/>
    <w:rsid w:val="00E36FC7"/>
    <w:rsid w:val="00E54CB2"/>
    <w:rsid w:val="00E64A88"/>
    <w:rsid w:val="00EB3341"/>
    <w:rsid w:val="00EB4F65"/>
    <w:rsid w:val="00EC56BA"/>
    <w:rsid w:val="00ED278D"/>
    <w:rsid w:val="00EE431A"/>
    <w:rsid w:val="00F06AF7"/>
    <w:rsid w:val="00F2006C"/>
    <w:rsid w:val="00F36DC3"/>
    <w:rsid w:val="00F470C6"/>
    <w:rsid w:val="00F712A1"/>
    <w:rsid w:val="00F718CF"/>
    <w:rsid w:val="00F86058"/>
    <w:rsid w:val="00F95193"/>
    <w:rsid w:val="00F97A68"/>
    <w:rsid w:val="00F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87587-DEFB-47FD-BC4D-5832583F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F8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B63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63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63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63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63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3EC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DF43B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F43B4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57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2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280"/>
  </w:style>
  <w:style w:type="paragraph" w:styleId="Pieddepage">
    <w:name w:val="footer"/>
    <w:basedOn w:val="Normal"/>
    <w:link w:val="PieddepageCar"/>
    <w:uiPriority w:val="99"/>
    <w:unhideWhenUsed/>
    <w:rsid w:val="0062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B00E-3C5B-4E62-AC8A-778848BD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1895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la Commission épiscopale Justice et paix à l’issue de la mission d’observation des élections couplées, présidentielle et législatives, du 22 novembre 2020</vt:lpstr>
    </vt:vector>
  </TitlesOfParts>
  <Company/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la Commission épiscopale Justice et paix à l’issue de la mission d’observation des élections couplées, présidentielle et législatives, du 22 novembre 2020</dc:title>
  <dc:subject/>
  <dc:creator>user</dc:creator>
  <cp:keywords/>
  <dc:description/>
  <cp:lastModifiedBy>Utilisateur Windows</cp:lastModifiedBy>
  <cp:revision>8</cp:revision>
  <cp:lastPrinted>2020-11-27T15:18:00Z</cp:lastPrinted>
  <dcterms:created xsi:type="dcterms:W3CDTF">2020-11-27T13:16:00Z</dcterms:created>
  <dcterms:modified xsi:type="dcterms:W3CDTF">2020-11-27T16:19:00Z</dcterms:modified>
</cp:coreProperties>
</file>